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17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-17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pacing w:val="-17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pacing w:val="-17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auto"/>
          <w:spacing w:val="-17"/>
          <w:sz w:val="44"/>
          <w:szCs w:val="44"/>
          <w:lang w:eastAsia="zh-CN"/>
        </w:rPr>
        <w:t>重庆市进一步强化招商投资促进工作若干措施</w:t>
      </w:r>
      <w:bookmarkEnd w:id="0"/>
    </w:p>
    <w:p>
      <w:pPr>
        <w:pStyle w:val="2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为深入贯彻党的二十大、二十届二中全会精神，全面落实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市委六届二次全会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工作部署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进一步强化招商投资工作统筹，增强招商投资工作系统性，提高招商投资质量和水平，更好服务全市构建现代化产业体系，特制定如下措施。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一、完善招商工作体系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落实副市长对口联系区县招商投资促进工作机制，高位推进一批引领性、示范性项目。建立产业主管部门管行业领域必须管产业招商的产业组织机制，强化招商统筹指导。分领域组建“市领导+招商投资部门+行业主管部门+区县+园区平台”联动的产业招商专班，形成扁平高效的协同推进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二、提升园区招商能力。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聚焦国家级和一批市级特色产业园区，围绕打造一批主导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Hans"/>
        </w:rPr>
        <w:t>产业、明确一个承载园区、募建一支产业基金、制定一套个性化政策、组建一支专业团队、创设一个产业展示中心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开展基础能力建设，打造全市招商主阵地。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三、构建区域招商网络。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在北京、上海、深圳、四川设立招商联络处，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eastAsia="zh-CN"/>
        </w:rPr>
        <w:t>组建重点城市和重点产业链招商小组，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打造覆盖全国的招商网络。借助驻外使领馆、侨商会、海外联络处、中介机构等，发挥招商大使桥梁纽带作用，打造触及全球的招商信息站。明确市属国有企业招商工作责任部门，服务促进招商。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四、绘制产业招商地图。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立足本地产业资源优势，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围绕巩固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提升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传统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支柱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、推动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战略性新兴产业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融合集群发展等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筛选重点领域招商赛道。分产业绘制产业链全景图，聚焦产业链关键环节，开展产业链强链补链延链分析，提出产业招商目标。瞄准世界500强、中国500强、行业前10强、上市企业、独角兽企业和专精特新企业，梳理1万家重点目标企业，建成目标企业库。围绕构建产业生态，策划重大产业项目1000个，建成策划项目库，分行业滚动发布投资机会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五、实施多元模式招商。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探索资本招商，整合设立产业发展基金，导入全球知名投资机构、国家级产业投资基金资源，撬动重大项目招引。实施场景招商，依托国家数字经济创新发展试验区、新一代人工智能创新发展试验区等，大力招引新技术、新产业、新业态、新模式，打通“应用—反馈—优化”循环。推进数字招商，用好大数据招商平台，强化招商智能分析，加强招商项目数字化管理，提升招商质效。强化“双招双引”，推进项目引进和人才招引深度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六、突出平台推广招商。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用好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成渝地区双城经济圈建设平台，开展全球投资推介、毗邻地区产业推介招商，增强区域产业协同。用好支洽会、鲁渝产业协作等与发达地区合作平台招商，促进产业转移。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用好智博会、西洽会、中新金融峰会等平台，开展系列专项领域招商，营造产业发展氛围。举办“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投资重庆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”招商投资推介活动和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系列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新闻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发布会，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讲好重庆财富故事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展示重庆产业发展基础和机遇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七、规范招商引资秩序。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建立重大招商项目分类推进机制，给予政策要素倾斜，统筹布局市级重大招商项目。落实“首报首谈”制度，对符合辖区产业定位的首报招商项目予以保护，避免恶性竞争。建立项目流转机制，做好招商项目信息统筹，鼓励项目跨区域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八、优化项目落地服务。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持续推进重庆市产科金“产业-科技-金融”服务平台建设，完善供需对接机制，举办专题对接活动，服务项目融资“最后一公里”。持续优化营商环境，强化要素保障，用好全市招商联席会议制度作用，协调解决项目落地卡点问题。</w:t>
      </w:r>
    </w:p>
    <w:p>
      <w:pPr>
        <w:widowControl/>
        <w:shd w:val="clear" w:color="auto" w:fill="FFFFFF"/>
        <w:wordWrap w:val="0"/>
        <w:spacing w:line="594" w:lineRule="exact"/>
        <w:ind w:firstLine="640" w:firstLineChars="200"/>
        <w:jc w:val="left"/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九、完善考评激励机制。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优化招商投资统计体系和考核办法，建立完善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招商通报机制、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督查激励机制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，定期发布招商“赛马榜”</w:t>
      </w:r>
      <w:r>
        <w:rPr>
          <w:rFonts w:hint="eastAsia" w:ascii="方正仿宋_GBK" w:hAnsi="方正仿宋_GBK" w:eastAsia="方正仿宋_GBK" w:cs="方正仿宋_GBK"/>
          <w:color w:val="030303"/>
          <w:kern w:val="0"/>
          <w:sz w:val="32"/>
          <w:szCs w:val="32"/>
          <w:highlight w:val="none"/>
          <w:shd w:val="clear" w:color="auto" w:fill="FFFFFF"/>
          <w:lang w:bidi="ar"/>
        </w:rPr>
        <w:t>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对招商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实绩突出的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单位予以奖励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建立容错纠错机制，</w:t>
      </w:r>
      <w:r>
        <w:rPr>
          <w:rFonts w:hint="eastAsia" w:ascii="方正仿宋_GBK" w:hAnsi="方正仿宋_GBK" w:eastAsia="方正仿宋_GBK" w:cs="方正仿宋_GBK"/>
          <w:color w:val="030303"/>
          <w:kern w:val="0"/>
          <w:sz w:val="32"/>
          <w:szCs w:val="32"/>
          <w:highlight w:val="none"/>
          <w:shd w:val="clear" w:color="auto" w:fill="FFFFFF"/>
          <w:lang w:bidi="ar"/>
        </w:rPr>
        <w:t>激励干部敢于担当、敢于作为。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加强最佳案例实践推广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鼓励探索产业链精准招商模式创新、举措创新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821C1"/>
    <w:rsid w:val="31A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2023-05-11T08:21:00Z</dcterms:created>
  <dc:creator>ho</dc:creator>
  <cp:lastModifiedBy>ho</cp:lastModifiedBy>
  <dcterms:modified xsi:type="dcterms:W3CDTF">2023-05-11T08:23:11Z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66A815947EBE4C5E91EA0C7F1B97F374</vt:lpwstr>
  </property>
</Properties>
</file>