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spacing w:line="360" w:lineRule="auto"/>
        <w:jc w:val="center"/>
        <w:outlineLvl w:val="0"/>
        <w:rPr>
          <w:rFonts w:ascii="微软雅黑" w:hAnsi="微软雅黑" w:eastAsia="微软雅黑"/>
          <w:b/>
          <w:sz w:val="84"/>
          <w:szCs w:val="84"/>
        </w:rPr>
      </w:pPr>
      <w:bookmarkStart w:id="0" w:name="_Toc9313"/>
      <w:bookmarkStart w:id="1" w:name="_Toc734"/>
      <w:bookmarkStart w:id="2" w:name="_Toc29226"/>
      <w:bookmarkStart w:id="3" w:name="_Toc995"/>
    </w:p>
    <w:p>
      <w:pPr>
        <w:spacing w:line="360" w:lineRule="auto"/>
        <w:jc w:val="center"/>
        <w:outlineLvl w:val="0"/>
        <w:rPr>
          <w:rFonts w:ascii="微软雅黑" w:hAnsi="微软雅黑" w:eastAsia="微软雅黑"/>
          <w:b/>
          <w:sz w:val="84"/>
          <w:szCs w:val="84"/>
        </w:rPr>
      </w:pPr>
      <w:r>
        <w:rPr>
          <w:rFonts w:hint="eastAsia" w:ascii="微软雅黑" w:hAnsi="微软雅黑" w:eastAsia="微软雅黑"/>
          <w:b/>
          <w:sz w:val="84"/>
          <w:szCs w:val="84"/>
        </w:rPr>
        <w:t>评比文件</w:t>
      </w:r>
      <w:bookmarkEnd w:id="0"/>
      <w:bookmarkEnd w:id="1"/>
      <w:bookmarkEnd w:id="2"/>
      <w:bookmarkEnd w:id="3"/>
    </w:p>
    <w:p>
      <w:pPr>
        <w:pStyle w:val="2"/>
      </w:pPr>
    </w:p>
    <w:p>
      <w:pPr>
        <w:spacing w:line="700" w:lineRule="exact"/>
        <w:jc w:val="center"/>
        <w:rPr>
          <w:rFonts w:ascii="微软雅黑" w:hAnsi="微软雅黑" w:eastAsia="微软雅黑"/>
          <w:sz w:val="32"/>
        </w:rPr>
      </w:pPr>
    </w:p>
    <w:p>
      <w:pPr>
        <w:keepNext w:val="0"/>
        <w:keepLines w:val="0"/>
        <w:pageBreakBefore w:val="0"/>
        <w:widowControl w:val="0"/>
        <w:kinsoku/>
        <w:wordWrap/>
        <w:overflowPunct/>
        <w:topLinePunct w:val="0"/>
        <w:autoSpaceDE/>
        <w:autoSpaceDN/>
        <w:bidi w:val="0"/>
        <w:adjustRightInd/>
        <w:snapToGrid/>
        <w:ind w:firstLine="1120" w:firstLineChars="400"/>
        <w:jc w:val="center"/>
        <w:textAlignment w:val="auto"/>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项目名称</w:t>
      </w:r>
      <w:r>
        <w:rPr>
          <w:rFonts w:hint="eastAsia" w:ascii="微软雅黑" w:hAnsi="微软雅黑" w:eastAsia="微软雅黑" w:cs="微软雅黑"/>
          <w:sz w:val="28"/>
          <w:szCs w:val="28"/>
          <w:highlight w:val="none"/>
          <w:lang w:eastAsia="zh-CN"/>
        </w:rPr>
        <w:t>：重庆市招商投资促进中心</w:t>
      </w:r>
      <w:r>
        <w:rPr>
          <w:rFonts w:hint="default" w:ascii="微软雅黑" w:hAnsi="微软雅黑" w:eastAsia="微软雅黑" w:cs="微软雅黑"/>
          <w:sz w:val="28"/>
          <w:szCs w:val="28"/>
          <w:highlight w:val="none"/>
          <w:lang w:val="en-US" w:eastAsia="zh-CN"/>
        </w:rPr>
        <w:t>2023</w:t>
      </w:r>
      <w:r>
        <w:rPr>
          <w:rFonts w:hint="eastAsia" w:ascii="微软雅黑" w:hAnsi="微软雅黑" w:eastAsia="微软雅黑" w:cs="微软雅黑"/>
          <w:sz w:val="28"/>
          <w:szCs w:val="28"/>
          <w:highlight w:val="none"/>
          <w:lang w:val="en-US" w:eastAsia="zh-CN"/>
        </w:rPr>
        <w:t>年关于</w:t>
      </w:r>
      <w:r>
        <w:rPr>
          <w:rFonts w:hint="eastAsia" w:ascii="微软雅黑" w:hAnsi="微软雅黑" w:eastAsia="微软雅黑" w:cs="微软雅黑"/>
          <w:sz w:val="28"/>
          <w:szCs w:val="28"/>
          <w:highlight w:val="none"/>
          <w:lang w:eastAsia="zh-CN"/>
        </w:rPr>
        <w:t>“投资重庆”</w:t>
      </w:r>
    </w:p>
    <w:p>
      <w:pPr>
        <w:keepNext w:val="0"/>
        <w:keepLines w:val="0"/>
        <w:pageBreakBefore w:val="0"/>
        <w:widowControl w:val="0"/>
        <w:kinsoku/>
        <w:wordWrap/>
        <w:overflowPunct/>
        <w:topLinePunct w:val="0"/>
        <w:autoSpaceDE/>
        <w:autoSpaceDN/>
        <w:bidi w:val="0"/>
        <w:adjustRightInd/>
        <w:snapToGrid/>
        <w:ind w:firstLine="2520" w:firstLineChars="900"/>
        <w:jc w:val="center"/>
        <w:textAlignment w:val="auto"/>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lang w:eastAsia="zh-CN"/>
        </w:rPr>
        <w:t>微信视频号、官方抖音号视频创意及运营服务</w:t>
      </w:r>
    </w:p>
    <w:p>
      <w:pPr>
        <w:jc w:val="center"/>
        <w:rPr>
          <w:rFonts w:eastAsia="微软雅黑"/>
          <w:highlight w:val="none"/>
        </w:rPr>
      </w:pPr>
    </w:p>
    <w:p>
      <w:pPr>
        <w:rPr>
          <w:rFonts w:eastAsia="微软雅黑"/>
        </w:rPr>
      </w:pPr>
    </w:p>
    <w:p>
      <w:pPr>
        <w:rPr>
          <w:rFonts w:eastAsia="微软雅黑"/>
        </w:rPr>
      </w:pPr>
    </w:p>
    <w:p>
      <w:pPr>
        <w:rPr>
          <w:rFonts w:eastAsia="微软雅黑"/>
        </w:rPr>
      </w:pPr>
    </w:p>
    <w:p>
      <w:pPr>
        <w:rPr>
          <w:rFonts w:eastAsia="微软雅黑"/>
        </w:rPr>
      </w:pPr>
    </w:p>
    <w:p>
      <w:pPr>
        <w:rPr>
          <w:rFonts w:eastAsia="微软雅黑"/>
        </w:rPr>
      </w:pPr>
    </w:p>
    <w:p>
      <w:pPr>
        <w:pStyle w:val="7"/>
        <w:ind w:firstLine="0"/>
        <w:rPr>
          <w:rFonts w:ascii="Times New Roman" w:hAnsi="Times New Roman" w:eastAsia="微软雅黑"/>
        </w:rPr>
      </w:pPr>
    </w:p>
    <w:p>
      <w:pPr>
        <w:rPr>
          <w:rFonts w:eastAsia="微软雅黑"/>
        </w:rPr>
      </w:pPr>
    </w:p>
    <w:p>
      <w:pPr>
        <w:pStyle w:val="7"/>
        <w:rPr>
          <w:rFonts w:ascii="Times New Roman" w:hAnsi="Times New Roman" w:eastAsia="微软雅黑"/>
        </w:rPr>
      </w:pPr>
    </w:p>
    <w:p>
      <w:pPr>
        <w:rPr>
          <w:rFonts w:eastAsia="微软雅黑"/>
        </w:rPr>
      </w:pPr>
    </w:p>
    <w:p>
      <w:pPr>
        <w:pStyle w:val="7"/>
        <w:rPr>
          <w:rFonts w:ascii="Times New Roman" w:hAnsi="Times New Roman"/>
        </w:rPr>
      </w:pPr>
    </w:p>
    <w:p>
      <w:pPr>
        <w:rPr>
          <w:rFonts w:eastAsia="微软雅黑"/>
        </w:rPr>
      </w:pPr>
    </w:p>
    <w:p>
      <w:pPr>
        <w:pStyle w:val="13"/>
        <w:ind w:firstLine="210"/>
      </w:pPr>
    </w:p>
    <w:p/>
    <w:p>
      <w:pPr>
        <w:rPr>
          <w:sz w:val="28"/>
          <w:szCs w:val="28"/>
        </w:rPr>
      </w:pPr>
    </w:p>
    <w:p>
      <w:pPr>
        <w:jc w:val="center"/>
        <w:rPr>
          <w:rFonts w:hint="eastAsia" w:ascii="微软雅黑" w:hAnsi="微软雅黑" w:eastAsia="微软雅黑"/>
          <w:b/>
          <w:bCs/>
          <w:sz w:val="28"/>
          <w:szCs w:val="28"/>
          <w:lang w:eastAsia="zh-CN"/>
        </w:rPr>
      </w:pPr>
      <w:r>
        <w:rPr>
          <w:rFonts w:hint="eastAsia" w:ascii="微软雅黑" w:hAnsi="微软雅黑" w:eastAsia="微软雅黑"/>
          <w:b/>
          <w:bCs/>
          <w:sz w:val="28"/>
          <w:szCs w:val="28"/>
        </w:rPr>
        <w:t>采购人：重庆市招商投资</w:t>
      </w:r>
      <w:r>
        <w:rPr>
          <w:rFonts w:ascii="微软雅黑" w:hAnsi="微软雅黑" w:eastAsia="微软雅黑"/>
          <w:b/>
          <w:bCs/>
          <w:sz w:val="28"/>
          <w:szCs w:val="28"/>
        </w:rPr>
        <w:t>促进</w:t>
      </w:r>
      <w:r>
        <w:rPr>
          <w:rFonts w:hint="eastAsia" w:ascii="微软雅黑" w:hAnsi="微软雅黑" w:eastAsia="微软雅黑"/>
          <w:b/>
          <w:bCs/>
          <w:sz w:val="28"/>
          <w:szCs w:val="28"/>
          <w:lang w:eastAsia="zh-CN"/>
        </w:rPr>
        <w:t>中心</w:t>
      </w:r>
    </w:p>
    <w:p>
      <w:pPr>
        <w:rPr>
          <w:rFonts w:ascii="微软雅黑" w:hAnsi="微软雅黑" w:eastAsia="微软雅黑"/>
          <w:b/>
          <w:bCs/>
          <w:sz w:val="28"/>
          <w:szCs w:val="28"/>
        </w:rPr>
      </w:pPr>
    </w:p>
    <w:p>
      <w:pPr>
        <w:pStyle w:val="2"/>
      </w:pPr>
    </w:p>
    <w:p>
      <w:pPr>
        <w:spacing w:line="720" w:lineRule="exact"/>
        <w:jc w:val="center"/>
        <w:outlineLvl w:val="0"/>
        <w:rPr>
          <w:rFonts w:ascii="微软雅黑" w:hAnsi="微软雅黑" w:eastAsia="微软雅黑"/>
          <w:b/>
          <w:bCs/>
          <w:sz w:val="30"/>
          <w:szCs w:val="30"/>
          <w:highlight w:val="none"/>
        </w:rPr>
      </w:pPr>
      <w:bookmarkStart w:id="4" w:name="_Toc11745"/>
      <w:bookmarkStart w:id="5" w:name="_Toc18412"/>
      <w:bookmarkStart w:id="6" w:name="_Toc8148"/>
      <w:bookmarkStart w:id="7" w:name="_Toc1262"/>
      <w:bookmarkStart w:id="8" w:name="_Toc32079"/>
      <w:r>
        <w:rPr>
          <w:rFonts w:hint="eastAsia" w:ascii="微软雅黑" w:hAnsi="微软雅黑" w:eastAsia="微软雅黑"/>
          <w:b/>
          <w:bCs/>
          <w:sz w:val="30"/>
          <w:szCs w:val="30"/>
          <w:highlight w:val="none"/>
        </w:rPr>
        <w:t>二〇二</w:t>
      </w:r>
      <w:r>
        <w:rPr>
          <w:rFonts w:hint="eastAsia" w:ascii="微软雅黑" w:hAnsi="微软雅黑" w:eastAsia="微软雅黑"/>
          <w:b/>
          <w:bCs/>
          <w:sz w:val="30"/>
          <w:szCs w:val="30"/>
          <w:highlight w:val="none"/>
          <w:lang w:eastAsia="zh-CN"/>
        </w:rPr>
        <w:t>三</w:t>
      </w:r>
      <w:r>
        <w:rPr>
          <w:rFonts w:hint="eastAsia" w:ascii="微软雅黑" w:hAnsi="微软雅黑" w:eastAsia="微软雅黑"/>
          <w:b/>
          <w:bCs/>
          <w:sz w:val="30"/>
          <w:szCs w:val="30"/>
          <w:highlight w:val="none"/>
        </w:rPr>
        <w:t>年</w:t>
      </w:r>
      <w:r>
        <w:rPr>
          <w:rFonts w:hint="eastAsia" w:ascii="微软雅黑" w:hAnsi="微软雅黑" w:eastAsia="微软雅黑"/>
          <w:b/>
          <w:bCs/>
          <w:sz w:val="30"/>
          <w:szCs w:val="30"/>
          <w:highlight w:val="none"/>
          <w:lang w:eastAsia="zh-CN"/>
        </w:rPr>
        <w:t>三</w:t>
      </w:r>
      <w:r>
        <w:rPr>
          <w:rFonts w:hint="eastAsia" w:ascii="微软雅黑" w:hAnsi="微软雅黑" w:eastAsia="微软雅黑"/>
          <w:b/>
          <w:bCs/>
          <w:sz w:val="30"/>
          <w:szCs w:val="30"/>
          <w:highlight w:val="none"/>
        </w:rPr>
        <w:t>月</w:t>
      </w:r>
      <w:bookmarkEnd w:id="4"/>
      <w:bookmarkEnd w:id="5"/>
      <w:bookmarkEnd w:id="6"/>
      <w:bookmarkEnd w:id="7"/>
      <w:bookmarkEnd w:id="8"/>
    </w:p>
    <w:p>
      <w:pPr>
        <w:pStyle w:val="13"/>
        <w:ind w:firstLine="440"/>
        <w:jc w:val="center"/>
        <w:rPr>
          <w:rFonts w:ascii="微软雅黑" w:hAnsi="微软雅黑" w:eastAsia="微软雅黑"/>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8" w:bottom="1134" w:left="1418" w:header="851" w:footer="992" w:gutter="0"/>
          <w:pgNumType w:fmt="decimal" w:start="3"/>
          <w:cols w:space="720" w:num="1"/>
          <w:titlePg/>
          <w:docGrid w:linePitch="381" w:charSpace="-5735"/>
        </w:sectPr>
      </w:pPr>
    </w:p>
    <w:p>
      <w:pPr>
        <w:spacing w:before="120" w:after="120" w:line="580" w:lineRule="exact"/>
        <w:jc w:val="center"/>
        <w:rPr>
          <w:rFonts w:eastAsia="微软雅黑"/>
          <w:kern w:val="0"/>
          <w:sz w:val="44"/>
          <w:szCs w:val="44"/>
        </w:rPr>
      </w:pPr>
      <w:r>
        <w:rPr>
          <w:rFonts w:eastAsia="微软雅黑"/>
          <w:kern w:val="0"/>
          <w:sz w:val="44"/>
          <w:szCs w:val="44"/>
        </w:rPr>
        <w:t>目     录</w:t>
      </w:r>
    </w:p>
    <w:p>
      <w:pPr>
        <w:spacing w:before="120" w:after="120" w:line="580" w:lineRule="exact"/>
        <w:rPr>
          <w:rFonts w:eastAsia="微软雅黑"/>
          <w:sz w:val="32"/>
          <w:szCs w:val="32"/>
        </w:rPr>
      </w:pPr>
    </w:p>
    <w:p>
      <w:pPr>
        <w:pStyle w:val="10"/>
        <w:tabs>
          <w:tab w:val="right" w:leader="dot" w:pos="9412"/>
        </w:tabs>
      </w:pPr>
      <w:r>
        <w:rPr>
          <w:rFonts w:eastAsia="微软雅黑"/>
          <w:b/>
          <w:bCs/>
          <w:sz w:val="36"/>
          <w:szCs w:val="36"/>
        </w:rPr>
        <w:fldChar w:fldCharType="begin"/>
      </w:r>
      <w:r>
        <w:rPr>
          <w:rFonts w:eastAsia="微软雅黑"/>
          <w:b/>
          <w:bCs/>
          <w:sz w:val="36"/>
          <w:szCs w:val="36"/>
        </w:rPr>
        <w:instrText xml:space="preserve">TOC \o "1-2" \h \u </w:instrText>
      </w:r>
      <w:r>
        <w:rPr>
          <w:rFonts w:eastAsia="微软雅黑"/>
          <w:b/>
          <w:bCs/>
          <w:sz w:val="36"/>
          <w:szCs w:val="36"/>
        </w:rPr>
        <w:fldChar w:fldCharType="separate"/>
      </w:r>
    </w:p>
    <w:p>
      <w:pPr>
        <w:pStyle w:val="11"/>
        <w:tabs>
          <w:tab w:val="right" w:leader="dot" w:pos="9412"/>
        </w:tabs>
      </w:pPr>
      <w:r>
        <w:fldChar w:fldCharType="begin"/>
      </w:r>
      <w:r>
        <w:instrText xml:space="preserve"> HYPERLINK \l "_Toc11930" </w:instrText>
      </w:r>
      <w:r>
        <w:fldChar w:fldCharType="separate"/>
      </w:r>
      <w:r>
        <w:rPr>
          <w:rFonts w:hint="eastAsia" w:ascii="微软雅黑" w:hAnsi="微软雅黑" w:eastAsia="微软雅黑"/>
          <w:szCs w:val="36"/>
        </w:rPr>
        <w:t>第一篇  评比邀请书</w:t>
      </w:r>
      <w:r>
        <w:tab/>
      </w:r>
      <w:r>
        <w:fldChar w:fldCharType="begin"/>
      </w:r>
      <w:r>
        <w:instrText xml:space="preserve"> PAGEREF _Toc11930 \h </w:instrText>
      </w:r>
      <w:r>
        <w:fldChar w:fldCharType="separate"/>
      </w:r>
      <w:r>
        <w:t>1</w:t>
      </w:r>
      <w:r>
        <w:fldChar w:fldCharType="end"/>
      </w:r>
      <w:r>
        <w:fldChar w:fldCharType="end"/>
      </w:r>
    </w:p>
    <w:p>
      <w:pPr>
        <w:pStyle w:val="11"/>
        <w:tabs>
          <w:tab w:val="right" w:leader="dot" w:pos="9412"/>
        </w:tabs>
        <w:ind w:firstLine="420" w:firstLineChars="200"/>
      </w:pPr>
      <w:r>
        <w:fldChar w:fldCharType="begin"/>
      </w:r>
      <w:r>
        <w:instrText xml:space="preserve"> HYPERLINK \l "_Toc3042" </w:instrText>
      </w:r>
      <w:r>
        <w:fldChar w:fldCharType="separate"/>
      </w:r>
      <w:r>
        <w:rPr>
          <w:rFonts w:hint="eastAsia" w:ascii="微软雅黑" w:hAnsi="微软雅黑" w:eastAsia="微软雅黑"/>
        </w:rPr>
        <w:t>一、评比内容</w:t>
      </w:r>
      <w:r>
        <w:tab/>
      </w:r>
      <w:r>
        <w:fldChar w:fldCharType="begin"/>
      </w:r>
      <w:r>
        <w:instrText xml:space="preserve"> PAGEREF _Toc3042 \h </w:instrText>
      </w:r>
      <w:r>
        <w:fldChar w:fldCharType="separate"/>
      </w:r>
      <w:r>
        <w:t>1</w:t>
      </w:r>
      <w:r>
        <w:fldChar w:fldCharType="end"/>
      </w:r>
      <w:r>
        <w:fldChar w:fldCharType="end"/>
      </w:r>
    </w:p>
    <w:p>
      <w:pPr>
        <w:pStyle w:val="11"/>
        <w:tabs>
          <w:tab w:val="right" w:leader="dot" w:pos="9412"/>
        </w:tabs>
        <w:ind w:firstLine="420" w:firstLineChars="200"/>
      </w:pPr>
      <w:r>
        <w:fldChar w:fldCharType="begin"/>
      </w:r>
      <w:r>
        <w:instrText xml:space="preserve"> HYPERLINK \l "_Toc14949" </w:instrText>
      </w:r>
      <w:r>
        <w:fldChar w:fldCharType="separate"/>
      </w:r>
      <w:r>
        <w:rPr>
          <w:rFonts w:ascii="微软雅黑" w:hAnsi="微软雅黑" w:eastAsia="微软雅黑"/>
        </w:rPr>
        <w:t>二、供应商资格条件</w:t>
      </w:r>
      <w:r>
        <w:tab/>
      </w:r>
      <w:r>
        <w:fldChar w:fldCharType="begin"/>
      </w:r>
      <w:r>
        <w:instrText xml:space="preserve"> PAGEREF _Toc14949 \h </w:instrText>
      </w:r>
      <w:r>
        <w:fldChar w:fldCharType="separate"/>
      </w:r>
      <w:r>
        <w:t>1</w:t>
      </w:r>
      <w:r>
        <w:fldChar w:fldCharType="end"/>
      </w:r>
      <w:r>
        <w:fldChar w:fldCharType="end"/>
      </w:r>
    </w:p>
    <w:p>
      <w:pPr>
        <w:pStyle w:val="11"/>
        <w:tabs>
          <w:tab w:val="right" w:leader="dot" w:pos="9412"/>
        </w:tabs>
        <w:ind w:firstLine="420" w:firstLineChars="200"/>
      </w:pPr>
      <w:r>
        <w:fldChar w:fldCharType="begin"/>
      </w:r>
      <w:r>
        <w:instrText xml:space="preserve"> HYPERLINK \l "_Toc28087" </w:instrText>
      </w:r>
      <w:r>
        <w:fldChar w:fldCharType="separate"/>
      </w:r>
      <w:r>
        <w:rPr>
          <w:rFonts w:ascii="微软雅黑" w:hAnsi="微软雅黑" w:eastAsia="微软雅黑"/>
        </w:rPr>
        <w:t>三</w:t>
      </w:r>
      <w:r>
        <w:rPr>
          <w:rFonts w:hint="eastAsia" w:ascii="微软雅黑" w:hAnsi="微软雅黑" w:eastAsia="微软雅黑"/>
        </w:rPr>
        <w:t>、评比</w:t>
      </w:r>
      <w:r>
        <w:rPr>
          <w:rFonts w:ascii="微软雅黑" w:hAnsi="微软雅黑" w:eastAsia="微软雅黑"/>
        </w:rPr>
        <w:t>有关说明</w:t>
      </w:r>
      <w:r>
        <w:tab/>
      </w:r>
      <w:r>
        <w:fldChar w:fldCharType="begin"/>
      </w:r>
      <w:r>
        <w:instrText xml:space="preserve"> PAGEREF _Toc28087 \h </w:instrText>
      </w:r>
      <w:r>
        <w:fldChar w:fldCharType="separate"/>
      </w:r>
      <w:r>
        <w:t>1</w:t>
      </w:r>
      <w:r>
        <w:fldChar w:fldCharType="end"/>
      </w:r>
      <w:r>
        <w:fldChar w:fldCharType="end"/>
      </w:r>
    </w:p>
    <w:p>
      <w:pPr>
        <w:pStyle w:val="11"/>
        <w:tabs>
          <w:tab w:val="right" w:leader="dot" w:pos="9412"/>
        </w:tabs>
        <w:ind w:firstLine="420" w:firstLineChars="200"/>
      </w:pPr>
      <w:r>
        <w:fldChar w:fldCharType="begin"/>
      </w:r>
      <w:r>
        <w:instrText xml:space="preserve"> HYPERLINK \l "_Toc8539" </w:instrText>
      </w:r>
      <w:r>
        <w:fldChar w:fldCharType="separate"/>
      </w:r>
      <w:r>
        <w:rPr>
          <w:rFonts w:hint="eastAsia" w:ascii="微软雅黑" w:hAnsi="微软雅黑" w:eastAsia="微软雅黑"/>
        </w:rPr>
        <w:t>四、其他</w:t>
      </w:r>
      <w:r>
        <w:rPr>
          <w:rFonts w:ascii="微软雅黑" w:hAnsi="微软雅黑" w:eastAsia="微软雅黑"/>
        </w:rPr>
        <w:t>有关规定</w:t>
      </w:r>
      <w:r>
        <w:tab/>
      </w:r>
      <w:r>
        <w:rPr>
          <w:rFonts w:hint="eastAsia"/>
          <w:lang w:val="en-US" w:eastAsia="zh-CN"/>
        </w:rPr>
        <w:t>2</w:t>
      </w:r>
      <w:r>
        <w:fldChar w:fldCharType="end"/>
      </w:r>
    </w:p>
    <w:p>
      <w:pPr>
        <w:pStyle w:val="11"/>
        <w:tabs>
          <w:tab w:val="right" w:leader="dot" w:pos="9412"/>
        </w:tabs>
        <w:ind w:firstLine="420" w:firstLineChars="200"/>
      </w:pPr>
      <w:r>
        <w:fldChar w:fldCharType="begin"/>
      </w:r>
      <w:r>
        <w:instrText xml:space="preserve"> HYPERLINK \l "_Toc16147" </w:instrText>
      </w:r>
      <w:r>
        <w:fldChar w:fldCharType="separate"/>
      </w:r>
      <w:r>
        <w:rPr>
          <w:rFonts w:hint="eastAsia" w:ascii="微软雅黑" w:hAnsi="微软雅黑" w:eastAsia="微软雅黑"/>
        </w:rPr>
        <w:t>五</w:t>
      </w:r>
      <w:r>
        <w:rPr>
          <w:rFonts w:ascii="微软雅黑" w:hAnsi="微软雅黑" w:eastAsia="微软雅黑"/>
        </w:rPr>
        <w:t>、采购人联系方式</w:t>
      </w:r>
      <w:r>
        <w:tab/>
      </w:r>
      <w:r>
        <w:fldChar w:fldCharType="begin"/>
      </w:r>
      <w:r>
        <w:instrText xml:space="preserve"> PAGEREF _Toc16147 \h </w:instrText>
      </w:r>
      <w:r>
        <w:fldChar w:fldCharType="separate"/>
      </w:r>
      <w:r>
        <w:t>2</w:t>
      </w:r>
      <w:r>
        <w:fldChar w:fldCharType="end"/>
      </w:r>
      <w:r>
        <w:fldChar w:fldCharType="end"/>
      </w:r>
    </w:p>
    <w:p>
      <w:pPr>
        <w:pStyle w:val="11"/>
        <w:tabs>
          <w:tab w:val="right" w:leader="dot" w:pos="9412"/>
        </w:tabs>
      </w:pPr>
      <w:r>
        <w:fldChar w:fldCharType="begin"/>
      </w:r>
      <w:r>
        <w:instrText xml:space="preserve"> HYPERLINK \l "_Toc9589" </w:instrText>
      </w:r>
      <w:r>
        <w:fldChar w:fldCharType="separate"/>
      </w:r>
      <w:r>
        <w:rPr>
          <w:rFonts w:ascii="微软雅黑" w:hAnsi="微软雅黑" w:eastAsia="微软雅黑"/>
          <w:szCs w:val="36"/>
        </w:rPr>
        <w:t>第二</w:t>
      </w:r>
      <w:r>
        <w:rPr>
          <w:rFonts w:hint="eastAsia" w:ascii="微软雅黑" w:hAnsi="微软雅黑" w:eastAsia="微软雅黑"/>
          <w:szCs w:val="36"/>
        </w:rPr>
        <w:t>篇</w:t>
      </w:r>
      <w:r>
        <w:rPr>
          <w:rFonts w:ascii="微软雅黑" w:hAnsi="微软雅黑" w:eastAsia="微软雅黑"/>
          <w:szCs w:val="36"/>
        </w:rPr>
        <w:t xml:space="preserve"> 项目服务要求</w:t>
      </w:r>
      <w:r>
        <w:tab/>
      </w:r>
      <w:r>
        <w:fldChar w:fldCharType="begin"/>
      </w:r>
      <w:r>
        <w:instrText xml:space="preserve"> PAGEREF _Toc9589 \h </w:instrText>
      </w:r>
      <w:r>
        <w:fldChar w:fldCharType="separate"/>
      </w:r>
      <w:r>
        <w:t>3</w:t>
      </w:r>
      <w:r>
        <w:fldChar w:fldCharType="end"/>
      </w:r>
      <w:r>
        <w:fldChar w:fldCharType="end"/>
      </w:r>
    </w:p>
    <w:p>
      <w:pPr>
        <w:pStyle w:val="11"/>
        <w:tabs>
          <w:tab w:val="right" w:leader="dot" w:pos="9412"/>
        </w:tabs>
        <w:ind w:firstLine="420" w:firstLineChars="200"/>
      </w:pPr>
      <w:r>
        <w:fldChar w:fldCharType="begin"/>
      </w:r>
      <w:r>
        <w:instrText xml:space="preserve"> HYPERLINK \l "_Toc28290" </w:instrText>
      </w:r>
      <w:r>
        <w:fldChar w:fldCharType="separate"/>
      </w:r>
      <w:r>
        <w:rPr>
          <w:rFonts w:hint="eastAsia" w:ascii="微软雅黑" w:hAnsi="微软雅黑" w:eastAsia="微软雅黑"/>
        </w:rPr>
        <w:t>一</w:t>
      </w:r>
      <w:r>
        <w:rPr>
          <w:rFonts w:ascii="微软雅黑" w:hAnsi="微软雅黑" w:eastAsia="微软雅黑"/>
        </w:rPr>
        <w:t>、</w:t>
      </w:r>
      <w:r>
        <w:rPr>
          <w:rFonts w:hint="eastAsia" w:ascii="微软雅黑" w:hAnsi="微软雅黑" w:eastAsia="微软雅黑"/>
        </w:rPr>
        <w:t>采购</w:t>
      </w:r>
      <w:r>
        <w:rPr>
          <w:rFonts w:ascii="微软雅黑" w:hAnsi="微软雅黑" w:eastAsia="微软雅黑"/>
        </w:rPr>
        <w:t>内容</w:t>
      </w:r>
      <w:r>
        <w:tab/>
      </w:r>
      <w:r>
        <w:fldChar w:fldCharType="begin"/>
      </w:r>
      <w:r>
        <w:instrText xml:space="preserve"> PAGEREF _Toc28290 \h </w:instrText>
      </w:r>
      <w:r>
        <w:fldChar w:fldCharType="separate"/>
      </w:r>
      <w:r>
        <w:t>3</w:t>
      </w:r>
      <w:r>
        <w:fldChar w:fldCharType="end"/>
      </w:r>
      <w:r>
        <w:fldChar w:fldCharType="end"/>
      </w:r>
    </w:p>
    <w:p>
      <w:pPr>
        <w:pStyle w:val="11"/>
        <w:tabs>
          <w:tab w:val="right" w:leader="dot" w:pos="9412"/>
        </w:tabs>
        <w:ind w:firstLine="420" w:firstLineChars="200"/>
      </w:pPr>
      <w:r>
        <w:fldChar w:fldCharType="begin"/>
      </w:r>
      <w:r>
        <w:instrText xml:space="preserve"> HYPERLINK \l "_Toc20670" </w:instrText>
      </w:r>
      <w:r>
        <w:fldChar w:fldCharType="separate"/>
      </w:r>
      <w:r>
        <w:rPr>
          <w:rFonts w:hint="eastAsia" w:ascii="微软雅黑" w:hAnsi="微软雅黑" w:eastAsia="微软雅黑"/>
        </w:rPr>
        <w:t>二</w:t>
      </w:r>
      <w:r>
        <w:rPr>
          <w:rFonts w:ascii="微软雅黑" w:hAnsi="微软雅黑" w:eastAsia="微软雅黑"/>
        </w:rPr>
        <w:t>、</w:t>
      </w:r>
      <w:r>
        <w:rPr>
          <w:rFonts w:hint="eastAsia" w:ascii="微软雅黑" w:hAnsi="微软雅黑" w:eastAsia="微软雅黑"/>
        </w:rPr>
        <w:t>项目主要内容及要求</w:t>
      </w:r>
      <w:r>
        <w:tab/>
      </w:r>
      <w:r>
        <w:fldChar w:fldCharType="begin"/>
      </w:r>
      <w:r>
        <w:instrText xml:space="preserve"> PAGEREF _Toc20670 \h </w:instrText>
      </w:r>
      <w:r>
        <w:fldChar w:fldCharType="separate"/>
      </w:r>
      <w:r>
        <w:t>3</w:t>
      </w:r>
      <w:r>
        <w:fldChar w:fldCharType="end"/>
      </w:r>
      <w:r>
        <w:fldChar w:fldCharType="end"/>
      </w:r>
    </w:p>
    <w:p>
      <w:pPr>
        <w:pStyle w:val="11"/>
        <w:tabs>
          <w:tab w:val="right" w:leader="dot" w:pos="9412"/>
        </w:tabs>
        <w:ind w:firstLine="420" w:firstLineChars="200"/>
      </w:pPr>
      <w:r>
        <w:fldChar w:fldCharType="begin"/>
      </w:r>
      <w:r>
        <w:instrText xml:space="preserve"> HYPERLINK \l "_Toc24918" </w:instrText>
      </w:r>
      <w:r>
        <w:fldChar w:fldCharType="separate"/>
      </w:r>
      <w:r>
        <w:rPr>
          <w:rFonts w:hint="eastAsia" w:ascii="微软雅黑" w:hAnsi="微软雅黑" w:eastAsia="微软雅黑"/>
        </w:rPr>
        <w:t>三、服务期限</w:t>
      </w:r>
      <w:r>
        <w:tab/>
      </w:r>
      <w:r>
        <w:fldChar w:fldCharType="begin"/>
      </w:r>
      <w:r>
        <w:instrText xml:space="preserve"> PAGEREF _Toc24918 \h </w:instrText>
      </w:r>
      <w:r>
        <w:fldChar w:fldCharType="separate"/>
      </w:r>
      <w:r>
        <w:t>3</w:t>
      </w:r>
      <w:r>
        <w:fldChar w:fldCharType="end"/>
      </w:r>
      <w:r>
        <w:fldChar w:fldCharType="end"/>
      </w:r>
    </w:p>
    <w:p>
      <w:pPr>
        <w:pStyle w:val="11"/>
        <w:tabs>
          <w:tab w:val="right" w:leader="dot" w:pos="9412"/>
        </w:tabs>
        <w:ind w:firstLine="420" w:firstLineChars="200"/>
      </w:pPr>
      <w:r>
        <w:fldChar w:fldCharType="begin"/>
      </w:r>
      <w:r>
        <w:instrText xml:space="preserve"> HYPERLINK \l "_Toc10860" </w:instrText>
      </w:r>
      <w:r>
        <w:fldChar w:fldCharType="separate"/>
      </w:r>
      <w:r>
        <w:rPr>
          <w:rFonts w:hint="eastAsia" w:ascii="微软雅黑" w:hAnsi="微软雅黑" w:eastAsia="微软雅黑"/>
        </w:rPr>
        <w:t>四</w:t>
      </w:r>
      <w:r>
        <w:rPr>
          <w:rFonts w:ascii="微软雅黑" w:hAnsi="微软雅黑" w:eastAsia="微软雅黑"/>
        </w:rPr>
        <w:t>、采购方式</w:t>
      </w:r>
      <w:r>
        <w:tab/>
      </w:r>
      <w:r>
        <w:fldChar w:fldCharType="begin"/>
      </w:r>
      <w:r>
        <w:instrText xml:space="preserve"> PAGEREF _Toc10860 \h </w:instrText>
      </w:r>
      <w:r>
        <w:fldChar w:fldCharType="separate"/>
      </w:r>
      <w:r>
        <w:t>4</w:t>
      </w:r>
      <w:r>
        <w:fldChar w:fldCharType="end"/>
      </w:r>
      <w:r>
        <w:fldChar w:fldCharType="end"/>
      </w:r>
    </w:p>
    <w:p>
      <w:pPr>
        <w:pStyle w:val="11"/>
        <w:tabs>
          <w:tab w:val="right" w:leader="dot" w:pos="9412"/>
        </w:tabs>
        <w:ind w:firstLine="420" w:firstLineChars="200"/>
      </w:pPr>
      <w:r>
        <w:fldChar w:fldCharType="begin"/>
      </w:r>
      <w:r>
        <w:instrText xml:space="preserve"> HYPERLINK \l "_Toc6293" </w:instrText>
      </w:r>
      <w:r>
        <w:fldChar w:fldCharType="separate"/>
      </w:r>
      <w:r>
        <w:rPr>
          <w:rFonts w:hint="eastAsia" w:ascii="微软雅黑" w:hAnsi="微软雅黑" w:eastAsia="微软雅黑"/>
        </w:rPr>
        <w:t>五</w:t>
      </w:r>
      <w:r>
        <w:rPr>
          <w:rFonts w:ascii="微软雅黑" w:hAnsi="微软雅黑" w:eastAsia="微软雅黑"/>
        </w:rPr>
        <w:t>、违约责任</w:t>
      </w:r>
      <w:r>
        <w:tab/>
      </w:r>
      <w:r>
        <w:fldChar w:fldCharType="begin"/>
      </w:r>
      <w:r>
        <w:instrText xml:space="preserve"> PAGEREF _Toc6293 \h </w:instrText>
      </w:r>
      <w:r>
        <w:fldChar w:fldCharType="separate"/>
      </w:r>
      <w:r>
        <w:t>4</w:t>
      </w:r>
      <w:r>
        <w:fldChar w:fldCharType="end"/>
      </w:r>
      <w:r>
        <w:fldChar w:fldCharType="end"/>
      </w:r>
    </w:p>
    <w:p>
      <w:pPr>
        <w:pStyle w:val="11"/>
        <w:tabs>
          <w:tab w:val="right" w:leader="dot" w:pos="9412"/>
        </w:tabs>
      </w:pPr>
      <w:r>
        <w:fldChar w:fldCharType="begin"/>
      </w:r>
      <w:r>
        <w:instrText xml:space="preserve"> HYPERLINK \l "_Toc19340" </w:instrText>
      </w:r>
      <w:r>
        <w:fldChar w:fldCharType="separate"/>
      </w:r>
      <w:r>
        <w:rPr>
          <w:rFonts w:ascii="微软雅黑" w:hAnsi="微软雅黑" w:eastAsia="微软雅黑"/>
          <w:szCs w:val="36"/>
        </w:rPr>
        <w:t>第三</w:t>
      </w:r>
      <w:r>
        <w:rPr>
          <w:rFonts w:hint="eastAsia" w:ascii="微软雅黑" w:hAnsi="微软雅黑" w:eastAsia="微软雅黑"/>
          <w:szCs w:val="36"/>
        </w:rPr>
        <w:t>篇</w:t>
      </w:r>
      <w:r>
        <w:rPr>
          <w:rFonts w:ascii="微软雅黑" w:hAnsi="微软雅黑" w:eastAsia="微软雅黑"/>
          <w:szCs w:val="36"/>
        </w:rPr>
        <w:t xml:space="preserve"> </w:t>
      </w:r>
      <w:r>
        <w:rPr>
          <w:rFonts w:hint="eastAsia" w:ascii="微软雅黑" w:hAnsi="微软雅黑" w:eastAsia="微软雅黑"/>
          <w:szCs w:val="36"/>
        </w:rPr>
        <w:t>评比</w:t>
      </w:r>
      <w:r>
        <w:rPr>
          <w:rFonts w:ascii="微软雅黑" w:hAnsi="微软雅黑" w:eastAsia="微软雅黑"/>
          <w:szCs w:val="36"/>
        </w:rPr>
        <w:t>程序及评审标准</w:t>
      </w:r>
      <w:r>
        <w:tab/>
      </w:r>
      <w:r>
        <w:rPr>
          <w:rFonts w:hint="eastAsia"/>
          <w:lang w:val="en-US" w:eastAsia="zh-CN"/>
        </w:rPr>
        <w:t>5</w:t>
      </w:r>
      <w:r>
        <w:fldChar w:fldCharType="end"/>
      </w:r>
    </w:p>
    <w:p>
      <w:pPr>
        <w:pStyle w:val="11"/>
        <w:tabs>
          <w:tab w:val="right" w:leader="dot" w:pos="9412"/>
        </w:tabs>
        <w:ind w:firstLine="420" w:firstLineChars="200"/>
      </w:pPr>
      <w:r>
        <w:fldChar w:fldCharType="begin"/>
      </w:r>
      <w:r>
        <w:instrText xml:space="preserve"> HYPERLINK \l "_Toc27974" </w:instrText>
      </w:r>
      <w:r>
        <w:fldChar w:fldCharType="separate"/>
      </w:r>
      <w:r>
        <w:rPr>
          <w:rFonts w:ascii="微软雅黑" w:hAnsi="微软雅黑" w:eastAsia="微软雅黑"/>
        </w:rPr>
        <w:t>一、</w:t>
      </w:r>
      <w:r>
        <w:rPr>
          <w:rFonts w:hint="eastAsia" w:ascii="微软雅黑" w:hAnsi="微软雅黑" w:eastAsia="微软雅黑"/>
        </w:rPr>
        <w:t>评比</w:t>
      </w:r>
      <w:r>
        <w:rPr>
          <w:rFonts w:ascii="微软雅黑" w:hAnsi="微软雅黑" w:eastAsia="微软雅黑"/>
        </w:rPr>
        <w:t>程序及方法</w:t>
      </w:r>
      <w:r>
        <w:tab/>
      </w:r>
      <w:r>
        <w:rPr>
          <w:rFonts w:hint="eastAsia"/>
          <w:lang w:val="en-US" w:eastAsia="zh-CN"/>
        </w:rPr>
        <w:t>5</w:t>
      </w:r>
      <w:r>
        <w:fldChar w:fldCharType="end"/>
      </w:r>
    </w:p>
    <w:p>
      <w:pPr>
        <w:pStyle w:val="11"/>
        <w:tabs>
          <w:tab w:val="right" w:leader="dot" w:pos="9412"/>
        </w:tabs>
        <w:ind w:firstLine="420" w:firstLineChars="200"/>
      </w:pPr>
      <w:r>
        <w:fldChar w:fldCharType="begin"/>
      </w:r>
      <w:r>
        <w:instrText xml:space="preserve"> HYPERLINK \l "_Toc32615" </w:instrText>
      </w:r>
      <w:r>
        <w:fldChar w:fldCharType="separate"/>
      </w:r>
      <w:r>
        <w:rPr>
          <w:rFonts w:ascii="微软雅黑" w:hAnsi="微软雅黑" w:eastAsia="微软雅黑"/>
        </w:rPr>
        <w:t>二、评审标准</w:t>
      </w:r>
      <w:r>
        <w:tab/>
      </w:r>
      <w:r>
        <w:rPr>
          <w:rFonts w:hint="eastAsia"/>
          <w:lang w:val="en-US" w:eastAsia="zh-CN"/>
        </w:rPr>
        <w:t>6</w:t>
      </w:r>
      <w:r>
        <w:fldChar w:fldCharType="end"/>
      </w:r>
    </w:p>
    <w:p>
      <w:pPr>
        <w:pStyle w:val="11"/>
        <w:tabs>
          <w:tab w:val="right" w:leader="dot" w:pos="9412"/>
        </w:tabs>
        <w:ind w:firstLine="420" w:firstLineChars="200"/>
      </w:pPr>
      <w:r>
        <w:fldChar w:fldCharType="begin"/>
      </w:r>
      <w:r>
        <w:instrText xml:space="preserve"> HYPERLINK \l "_Toc11654" </w:instrText>
      </w:r>
      <w:r>
        <w:fldChar w:fldCharType="separate"/>
      </w:r>
      <w:r>
        <w:rPr>
          <w:rFonts w:ascii="微软雅黑" w:hAnsi="微软雅黑" w:eastAsia="微软雅黑"/>
        </w:rPr>
        <w:t>三、无效响应</w:t>
      </w:r>
      <w:r>
        <w:tab/>
      </w:r>
      <w:r>
        <w:rPr>
          <w:rFonts w:hint="eastAsia"/>
          <w:lang w:val="en-US" w:eastAsia="zh-CN"/>
        </w:rPr>
        <w:t>8</w:t>
      </w:r>
      <w:r>
        <w:fldChar w:fldCharType="end"/>
      </w:r>
    </w:p>
    <w:p>
      <w:pPr>
        <w:pStyle w:val="11"/>
        <w:tabs>
          <w:tab w:val="right" w:leader="dot" w:pos="9412"/>
        </w:tabs>
        <w:ind w:firstLine="420" w:firstLineChars="200"/>
      </w:pPr>
      <w:r>
        <w:fldChar w:fldCharType="begin"/>
      </w:r>
      <w:r>
        <w:instrText xml:space="preserve"> HYPERLINK \l "_Toc22103" </w:instrText>
      </w:r>
      <w:r>
        <w:fldChar w:fldCharType="separate"/>
      </w:r>
      <w:r>
        <w:rPr>
          <w:rFonts w:ascii="微软雅黑" w:hAnsi="微软雅黑" w:eastAsia="微软雅黑"/>
        </w:rPr>
        <w:t>四、采购终止</w:t>
      </w:r>
      <w:r>
        <w:tab/>
      </w:r>
      <w:r>
        <w:rPr>
          <w:rFonts w:hint="eastAsia"/>
          <w:lang w:val="en-US" w:eastAsia="zh-CN"/>
        </w:rPr>
        <w:t>8</w:t>
      </w:r>
      <w:r>
        <w:fldChar w:fldCharType="end"/>
      </w:r>
    </w:p>
    <w:p>
      <w:pPr>
        <w:pStyle w:val="11"/>
        <w:tabs>
          <w:tab w:val="right" w:leader="dot" w:pos="9412"/>
        </w:tabs>
        <w:rPr>
          <w:rFonts w:hint="eastAsia" w:eastAsia="宋体"/>
          <w:lang w:val="en-US" w:eastAsia="zh-CN"/>
        </w:rPr>
      </w:pPr>
      <w:r>
        <w:fldChar w:fldCharType="begin"/>
      </w:r>
      <w:r>
        <w:instrText xml:space="preserve"> HYPERLINK \l "_Toc24647" </w:instrText>
      </w:r>
      <w:r>
        <w:fldChar w:fldCharType="separate"/>
      </w:r>
      <w:r>
        <w:rPr>
          <w:rFonts w:ascii="微软雅黑" w:hAnsi="微软雅黑" w:eastAsia="微软雅黑"/>
          <w:szCs w:val="36"/>
        </w:rPr>
        <w:t>第四</w:t>
      </w:r>
      <w:r>
        <w:rPr>
          <w:rFonts w:hint="eastAsia" w:ascii="微软雅黑" w:hAnsi="微软雅黑" w:eastAsia="微软雅黑"/>
          <w:szCs w:val="36"/>
        </w:rPr>
        <w:t>篇</w:t>
      </w:r>
      <w:r>
        <w:rPr>
          <w:rFonts w:ascii="微软雅黑" w:hAnsi="微软雅黑" w:eastAsia="微软雅黑"/>
          <w:szCs w:val="36"/>
        </w:rPr>
        <w:t xml:space="preserve">  供应商须知</w:t>
      </w:r>
      <w:r>
        <w:tab/>
      </w:r>
      <w:r>
        <w:rPr>
          <w:rFonts w:hint="eastAsia"/>
          <w:lang w:val="en-US" w:eastAsia="zh-CN"/>
        </w:rPr>
        <w:t>1</w:t>
      </w:r>
      <w:r>
        <w:fldChar w:fldCharType="end"/>
      </w:r>
      <w:r>
        <w:rPr>
          <w:rFonts w:hint="eastAsia"/>
          <w:lang w:val="en-US" w:eastAsia="zh-CN"/>
        </w:rPr>
        <w:t>0</w:t>
      </w:r>
    </w:p>
    <w:p>
      <w:pPr>
        <w:pStyle w:val="11"/>
        <w:tabs>
          <w:tab w:val="right" w:leader="dot" w:pos="9412"/>
        </w:tabs>
        <w:ind w:firstLine="420" w:firstLineChars="200"/>
        <w:rPr>
          <w:rFonts w:hint="eastAsia" w:eastAsia="宋体"/>
          <w:lang w:val="en-US" w:eastAsia="zh-CN"/>
        </w:rPr>
      </w:pPr>
      <w:r>
        <w:fldChar w:fldCharType="begin"/>
      </w:r>
      <w:r>
        <w:instrText xml:space="preserve"> HYPERLINK \l "_Toc7036" </w:instrText>
      </w:r>
      <w:r>
        <w:fldChar w:fldCharType="separate"/>
      </w:r>
      <w:r>
        <w:rPr>
          <w:rFonts w:ascii="微软雅黑" w:hAnsi="微软雅黑" w:eastAsia="微软雅黑"/>
        </w:rPr>
        <w:t>一、响应文件</w:t>
      </w:r>
      <w:r>
        <w:tab/>
      </w:r>
      <w:r>
        <w:rPr>
          <w:rFonts w:hint="eastAsia"/>
          <w:lang w:val="en-US" w:eastAsia="zh-CN"/>
        </w:rPr>
        <w:t>1</w:t>
      </w:r>
      <w:r>
        <w:fldChar w:fldCharType="end"/>
      </w:r>
      <w:r>
        <w:rPr>
          <w:rFonts w:hint="eastAsia"/>
          <w:lang w:val="en-US" w:eastAsia="zh-CN"/>
        </w:rPr>
        <w:t>0</w:t>
      </w:r>
    </w:p>
    <w:p>
      <w:pPr>
        <w:pStyle w:val="11"/>
        <w:tabs>
          <w:tab w:val="right" w:leader="dot" w:pos="9412"/>
        </w:tabs>
        <w:ind w:firstLine="420" w:firstLineChars="200"/>
        <w:rPr>
          <w:rFonts w:hint="eastAsia" w:eastAsia="宋体"/>
          <w:lang w:val="en-US" w:eastAsia="zh-CN"/>
        </w:rPr>
      </w:pPr>
      <w:r>
        <w:fldChar w:fldCharType="begin"/>
      </w:r>
      <w:r>
        <w:instrText xml:space="preserve"> HYPERLINK \l "_Toc27711" </w:instrText>
      </w:r>
      <w:r>
        <w:fldChar w:fldCharType="separate"/>
      </w:r>
      <w:r>
        <w:rPr>
          <w:rFonts w:ascii="微软雅黑" w:hAnsi="微软雅黑" w:eastAsia="微软雅黑"/>
        </w:rPr>
        <w:t>二、</w:t>
      </w:r>
      <w:r>
        <w:rPr>
          <w:rFonts w:hint="eastAsia" w:ascii="微软雅黑" w:hAnsi="微软雅黑" w:eastAsia="微软雅黑"/>
        </w:rPr>
        <w:t>评比</w:t>
      </w:r>
      <w:r>
        <w:rPr>
          <w:rFonts w:ascii="微软雅黑" w:hAnsi="微软雅黑" w:eastAsia="微软雅黑"/>
        </w:rPr>
        <w:t>有效期</w:t>
      </w:r>
      <w:r>
        <w:tab/>
      </w:r>
      <w:r>
        <w:rPr>
          <w:rFonts w:hint="eastAsia"/>
          <w:lang w:val="en-US" w:eastAsia="zh-CN"/>
        </w:rPr>
        <w:t>1</w:t>
      </w:r>
      <w:r>
        <w:fldChar w:fldCharType="end"/>
      </w:r>
      <w:r>
        <w:rPr>
          <w:rFonts w:hint="eastAsia"/>
          <w:lang w:val="en-US" w:eastAsia="zh-CN"/>
        </w:rPr>
        <w:t>0</w:t>
      </w:r>
    </w:p>
    <w:p>
      <w:pPr>
        <w:pStyle w:val="11"/>
        <w:tabs>
          <w:tab w:val="right" w:leader="dot" w:pos="9412"/>
        </w:tabs>
        <w:ind w:firstLine="420" w:firstLineChars="200"/>
        <w:rPr>
          <w:rFonts w:hint="eastAsia" w:eastAsia="宋体"/>
          <w:lang w:val="en-US" w:eastAsia="zh-CN"/>
        </w:rPr>
      </w:pPr>
      <w:r>
        <w:fldChar w:fldCharType="begin"/>
      </w:r>
      <w:r>
        <w:instrText xml:space="preserve"> HYPERLINK \l "_Toc2687" </w:instrText>
      </w:r>
      <w:r>
        <w:fldChar w:fldCharType="separate"/>
      </w:r>
      <w:r>
        <w:rPr>
          <w:rFonts w:ascii="微软雅黑" w:hAnsi="微软雅黑" w:eastAsia="微软雅黑"/>
        </w:rPr>
        <w:t>三、提交响应文件的份数和签署</w:t>
      </w:r>
      <w:r>
        <w:tab/>
      </w:r>
      <w:r>
        <w:rPr>
          <w:rFonts w:hint="eastAsia"/>
          <w:lang w:val="en-US" w:eastAsia="zh-CN"/>
        </w:rPr>
        <w:t>1</w:t>
      </w:r>
      <w:r>
        <w:fldChar w:fldCharType="end"/>
      </w:r>
      <w:r>
        <w:rPr>
          <w:rFonts w:hint="eastAsia"/>
          <w:lang w:val="en-US" w:eastAsia="zh-CN"/>
        </w:rPr>
        <w:t>0</w:t>
      </w:r>
    </w:p>
    <w:p>
      <w:pPr>
        <w:pStyle w:val="11"/>
        <w:tabs>
          <w:tab w:val="right" w:leader="dot" w:pos="9412"/>
        </w:tabs>
        <w:ind w:firstLine="420" w:firstLineChars="200"/>
        <w:rPr>
          <w:rFonts w:hint="eastAsia" w:eastAsia="宋体"/>
          <w:lang w:val="en-US" w:eastAsia="zh-CN"/>
        </w:rPr>
      </w:pPr>
      <w:r>
        <w:fldChar w:fldCharType="begin"/>
      </w:r>
      <w:r>
        <w:instrText xml:space="preserve"> HYPERLINK \l "_Toc30483" </w:instrText>
      </w:r>
      <w:r>
        <w:fldChar w:fldCharType="separate"/>
      </w:r>
      <w:r>
        <w:rPr>
          <w:rFonts w:ascii="微软雅黑" w:hAnsi="微软雅黑" w:eastAsia="微软雅黑"/>
        </w:rPr>
        <w:t>四、响应文件的递交</w:t>
      </w:r>
      <w:r>
        <w:tab/>
      </w:r>
      <w:r>
        <w:rPr>
          <w:rFonts w:hint="eastAsia"/>
          <w:lang w:val="en-US" w:eastAsia="zh-CN"/>
        </w:rPr>
        <w:t>1</w:t>
      </w:r>
      <w:r>
        <w:fldChar w:fldCharType="end"/>
      </w:r>
      <w:r>
        <w:rPr>
          <w:rFonts w:hint="eastAsia"/>
          <w:lang w:val="en-US" w:eastAsia="zh-CN"/>
        </w:rPr>
        <w:t>0</w:t>
      </w:r>
    </w:p>
    <w:p>
      <w:pPr>
        <w:pStyle w:val="11"/>
        <w:tabs>
          <w:tab w:val="right" w:leader="dot" w:pos="9412"/>
        </w:tabs>
        <w:ind w:firstLine="420" w:firstLineChars="200"/>
        <w:rPr>
          <w:rFonts w:hint="eastAsia" w:eastAsia="宋体"/>
          <w:lang w:val="en-US" w:eastAsia="zh-CN"/>
        </w:rPr>
      </w:pPr>
      <w:r>
        <w:fldChar w:fldCharType="begin"/>
      </w:r>
      <w:r>
        <w:instrText xml:space="preserve"> HYPERLINK \l "_Toc14849" </w:instrText>
      </w:r>
      <w:r>
        <w:fldChar w:fldCharType="separate"/>
      </w:r>
      <w:r>
        <w:rPr>
          <w:rFonts w:ascii="微软雅黑" w:hAnsi="微软雅黑" w:eastAsia="微软雅黑"/>
        </w:rPr>
        <w:t>五、中选供应商的确认和变更</w:t>
      </w:r>
      <w:r>
        <w:tab/>
      </w:r>
      <w:r>
        <w:rPr>
          <w:rFonts w:hint="eastAsia"/>
          <w:lang w:val="en-US" w:eastAsia="zh-CN"/>
        </w:rPr>
        <w:t>1</w:t>
      </w:r>
      <w:r>
        <w:fldChar w:fldCharType="end"/>
      </w:r>
      <w:r>
        <w:rPr>
          <w:rFonts w:hint="eastAsia"/>
          <w:lang w:val="en-US" w:eastAsia="zh-CN"/>
        </w:rPr>
        <w:t>0</w:t>
      </w:r>
    </w:p>
    <w:p>
      <w:pPr>
        <w:pStyle w:val="11"/>
        <w:tabs>
          <w:tab w:val="right" w:leader="dot" w:pos="9412"/>
        </w:tabs>
        <w:rPr>
          <w:rFonts w:hint="eastAsia" w:eastAsia="宋体"/>
          <w:lang w:val="en-US" w:eastAsia="zh-CN"/>
        </w:rPr>
      </w:pPr>
      <w:r>
        <w:fldChar w:fldCharType="begin"/>
      </w:r>
      <w:r>
        <w:instrText xml:space="preserve"> HYPERLINK \l "_Toc15007" </w:instrText>
      </w:r>
      <w:r>
        <w:fldChar w:fldCharType="separate"/>
      </w:r>
      <w:r>
        <w:rPr>
          <w:rFonts w:ascii="微软雅黑" w:hAnsi="微软雅黑" w:eastAsia="微软雅黑"/>
          <w:szCs w:val="36"/>
        </w:rPr>
        <w:t>第五</w:t>
      </w:r>
      <w:r>
        <w:rPr>
          <w:rFonts w:hint="eastAsia" w:ascii="微软雅黑" w:hAnsi="微软雅黑" w:eastAsia="微软雅黑"/>
          <w:szCs w:val="36"/>
        </w:rPr>
        <w:t>篇</w:t>
      </w:r>
      <w:r>
        <w:rPr>
          <w:rFonts w:ascii="微软雅黑" w:hAnsi="微软雅黑" w:eastAsia="微软雅黑"/>
          <w:szCs w:val="36"/>
        </w:rPr>
        <w:t xml:space="preserve"> 响应文件</w:t>
      </w:r>
      <w:r>
        <w:rPr>
          <w:rFonts w:hint="eastAsia" w:ascii="微软雅黑" w:hAnsi="微软雅黑" w:eastAsia="微软雅黑"/>
          <w:szCs w:val="36"/>
          <w:lang w:eastAsia="zh-CN"/>
        </w:rPr>
        <w:t>编制要求</w:t>
      </w:r>
      <w:r>
        <w:tab/>
      </w:r>
      <w:r>
        <w:rPr>
          <w:rFonts w:hint="eastAsia"/>
          <w:lang w:val="en-US" w:eastAsia="zh-CN"/>
        </w:rPr>
        <w:t>1</w:t>
      </w:r>
      <w:r>
        <w:fldChar w:fldCharType="end"/>
      </w:r>
      <w:r>
        <w:rPr>
          <w:rFonts w:hint="eastAsia"/>
          <w:lang w:val="en-US" w:eastAsia="zh-CN"/>
        </w:rPr>
        <w:t>1</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"_Toc16981" </w:instrText>
      </w:r>
      <w:r>
        <w:rPr>
          <w:rFonts w:hint="default" w:ascii="Times New Roman" w:hAnsi="Times New Roman" w:cs="Times New Roman"/>
        </w:rPr>
        <w:fldChar w:fldCharType="separate"/>
      </w:r>
      <w:r>
        <w:rPr>
          <w:rFonts w:hint="eastAsia" w:ascii="Times New Roman" w:hAnsi="Times New Roman" w:eastAsia="微软雅黑" w:cs="Times New Roman"/>
          <w:lang w:val="en-US" w:eastAsia="zh-CN"/>
        </w:rPr>
        <w:t>1</w:t>
      </w:r>
      <w:r>
        <w:rPr>
          <w:rFonts w:hint="eastAsia" w:ascii="微软雅黑" w:hAnsi="微软雅黑" w:eastAsia="微软雅黑"/>
          <w:lang w:val="en-US" w:eastAsia="zh-CN"/>
        </w:rPr>
        <w:t>.</w:t>
      </w:r>
      <w:r>
        <w:rPr>
          <w:rFonts w:hint="default" w:ascii="微软雅黑" w:hAnsi="微软雅黑" w:eastAsia="微软雅黑"/>
        </w:rPr>
        <w:t>投</w:t>
      </w:r>
      <w:r>
        <w:rPr>
          <w:rFonts w:hint="default" w:ascii="Times New Roman" w:hAnsi="Times New Roman" w:eastAsia="微软雅黑" w:cs="Times New Roman"/>
        </w:rPr>
        <w:t>标人简介材料（格式自拟）</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2</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"_Toc11332" </w:instrText>
      </w:r>
      <w:r>
        <w:rPr>
          <w:rFonts w:hint="default" w:ascii="Times New Roman" w:hAnsi="Times New Roman" w:cs="Times New Roman"/>
        </w:rPr>
        <w:fldChar w:fldCharType="separate"/>
      </w:r>
      <w:r>
        <w:rPr>
          <w:rFonts w:hint="default" w:ascii="Times New Roman" w:hAnsi="Times New Roman" w:eastAsia="微软雅黑" w:cs="Times New Roman"/>
        </w:rPr>
        <w:t>2.投标项目及价格</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3</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"_Toc27183" </w:instrText>
      </w:r>
      <w:r>
        <w:rPr>
          <w:rFonts w:hint="default" w:ascii="Times New Roman" w:hAnsi="Times New Roman" w:cs="Times New Roman"/>
        </w:rPr>
        <w:fldChar w:fldCharType="separate"/>
      </w:r>
      <w:r>
        <w:rPr>
          <w:rFonts w:hint="default" w:ascii="Times New Roman" w:hAnsi="Times New Roman" w:eastAsia="微软雅黑" w:cs="Times New Roman"/>
        </w:rPr>
        <w:t>3.类似项目相关证明及案例图</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5</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 </w:instrText>
      </w:r>
      <w:r>
        <w:rPr>
          <w:rFonts w:hint="default" w:ascii="Times New Roman" w:hAnsi="Times New Roman" w:cs="Times New Roman"/>
        </w:rPr>
        <w:fldChar w:fldCharType="separate"/>
      </w:r>
      <w:r>
        <w:rPr>
          <w:rFonts w:hint="default" w:ascii="Times New Roman" w:hAnsi="Times New Roman" w:eastAsia="微软雅黑" w:cs="Times New Roman"/>
        </w:rPr>
        <w:t>4.网站运营初步服务方案</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6</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"_Toc17390" </w:instrText>
      </w:r>
      <w:r>
        <w:rPr>
          <w:rFonts w:hint="default" w:ascii="Times New Roman" w:hAnsi="Times New Roman" w:cs="Times New Roman"/>
        </w:rPr>
        <w:fldChar w:fldCharType="separate"/>
      </w:r>
      <w:r>
        <w:rPr>
          <w:rFonts w:hint="default" w:ascii="Times New Roman" w:hAnsi="Times New Roman" w:eastAsia="微软雅黑" w:cs="Times New Roman"/>
        </w:rPr>
        <w:t>5.书面声明（格式）</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7</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"_Toc17230" </w:instrText>
      </w:r>
      <w:r>
        <w:rPr>
          <w:rFonts w:hint="default" w:ascii="Times New Roman" w:hAnsi="Times New Roman" w:cs="Times New Roman"/>
        </w:rPr>
        <w:fldChar w:fldCharType="separate"/>
      </w:r>
      <w:r>
        <w:rPr>
          <w:rFonts w:hint="default" w:ascii="Times New Roman" w:hAnsi="Times New Roman" w:eastAsia="微软雅黑" w:cs="Times New Roman"/>
        </w:rPr>
        <w:t>6.依法缴纳税收和社会保障金的证明材料复印件</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8</w:t>
      </w:r>
    </w:p>
    <w:p>
      <w:pPr>
        <w:pStyle w:val="11"/>
        <w:tabs>
          <w:tab w:val="right" w:leader="dot" w:pos="9412"/>
        </w:tabs>
        <w:ind w:firstLine="420" w:firstLineChars="200"/>
        <w:rPr>
          <w:rFonts w:hint="eastAsia" w:ascii="Times New Roman" w:hAnsi="Times New Roman" w:eastAsia="微软雅黑"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"_Toc4567" </w:instrText>
      </w:r>
      <w:r>
        <w:rPr>
          <w:rFonts w:hint="default" w:ascii="Times New Roman" w:hAnsi="Times New Roman" w:cs="Times New Roman"/>
        </w:rPr>
        <w:fldChar w:fldCharType="separate"/>
      </w:r>
      <w:r>
        <w:rPr>
          <w:rFonts w:hint="default" w:ascii="Times New Roman" w:hAnsi="Times New Roman" w:eastAsia="微软雅黑" w:cs="Times New Roman"/>
        </w:rPr>
        <w:t>7.投标人法定代表人证明书或授权委托函原件材料</w:t>
      </w:r>
      <w:r>
        <w:rPr>
          <w:rFonts w:hint="default" w:ascii="Times New Roman" w:hAnsi="Times New Roman" w:eastAsia="微软雅黑" w:cs="Times New Roman"/>
        </w:rPr>
        <w:tab/>
      </w:r>
      <w:r>
        <w:rPr>
          <w:rFonts w:hint="eastAsia" w:eastAsia="微软雅黑" w:cs="Times New Roman"/>
          <w:lang w:val="en-US" w:eastAsia="zh-CN"/>
        </w:rPr>
        <w:t>1</w:t>
      </w:r>
      <w:r>
        <w:rPr>
          <w:rFonts w:hint="default" w:ascii="Times New Roman" w:hAnsi="Times New Roman" w:eastAsia="微软雅黑" w:cs="Times New Roman"/>
        </w:rPr>
        <w:fldChar w:fldCharType="end"/>
      </w:r>
      <w:r>
        <w:rPr>
          <w:rFonts w:hint="eastAsia" w:eastAsia="微软雅黑" w:cs="Times New Roman"/>
          <w:lang w:val="en-US" w:eastAsia="zh-CN"/>
        </w:rPr>
        <w:t>9</w:t>
      </w:r>
    </w:p>
    <w:p>
      <w:pPr>
        <w:pStyle w:val="11"/>
        <w:tabs>
          <w:tab w:val="right" w:leader="dot" w:pos="9412"/>
        </w:tabs>
        <w:ind w:firstLine="420" w:firstLineChars="200"/>
        <w:rPr>
          <w:rFonts w:hint="eastAsia" w:eastAsia="微软雅黑"/>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"_Toc5517" </w:instrText>
      </w:r>
      <w:r>
        <w:rPr>
          <w:rFonts w:hint="default" w:ascii="Times New Roman" w:hAnsi="Times New Roman" w:cs="Times New Roman"/>
        </w:rPr>
        <w:fldChar w:fldCharType="separate"/>
      </w:r>
      <w:r>
        <w:rPr>
          <w:rFonts w:hint="default" w:ascii="Times New Roman" w:hAnsi="Times New Roman" w:eastAsia="微软雅黑" w:cs="Times New Roman"/>
        </w:rPr>
        <w:t>8.采购人要求提供的其他证明材料</w:t>
      </w:r>
      <w:r>
        <w:rPr>
          <w:rFonts w:hint="default" w:ascii="Times New Roman" w:hAnsi="Times New Roman" w:eastAsia="微软雅黑" w:cs="Times New Roman"/>
        </w:rPr>
        <w:tab/>
      </w:r>
      <w:r>
        <w:rPr>
          <w:rFonts w:hint="eastAsia" w:eastAsia="微软雅黑" w:cs="Times New Roman"/>
          <w:lang w:val="en-US" w:eastAsia="zh-CN"/>
        </w:rPr>
        <w:t>2</w:t>
      </w:r>
      <w:r>
        <w:rPr>
          <w:rFonts w:hint="default" w:ascii="Times New Roman" w:hAnsi="Times New Roman" w:eastAsia="微软雅黑" w:cs="Times New Roman"/>
        </w:rPr>
        <w:fldChar w:fldCharType="end"/>
      </w:r>
      <w:r>
        <w:rPr>
          <w:rFonts w:hint="eastAsia" w:eastAsia="微软雅黑" w:cs="Times New Roman"/>
          <w:lang w:val="en-US" w:eastAsia="zh-CN"/>
        </w:rPr>
        <w:t>1</w:t>
      </w:r>
    </w:p>
    <w:p>
      <w:pPr>
        <w:spacing w:line="580" w:lineRule="exact"/>
        <w:ind w:left="1" w:firstLine="1360" w:firstLineChars="648"/>
        <w:rPr>
          <w:rFonts w:eastAsia="微软雅黑"/>
          <w:b/>
          <w:bCs/>
          <w:sz w:val="36"/>
          <w:szCs w:val="36"/>
        </w:rPr>
      </w:pPr>
      <w:r>
        <w:rPr>
          <w:rFonts w:eastAsia="微软雅黑"/>
          <w:bCs/>
          <w:szCs w:val="36"/>
        </w:rPr>
        <w:fldChar w:fldCharType="end"/>
      </w:r>
    </w:p>
    <w:p>
      <w:pPr>
        <w:spacing w:line="520" w:lineRule="exact"/>
        <w:ind w:left="1" w:firstLine="2341" w:firstLineChars="648"/>
        <w:rPr>
          <w:b/>
          <w:bCs/>
          <w:sz w:val="36"/>
          <w:szCs w:val="36"/>
        </w:rPr>
        <w:sectPr>
          <w:footerReference r:id="rId9" w:type="default"/>
          <w:footerReference r:id="rId10" w:type="even"/>
          <w:pgSz w:w="11907" w:h="16840"/>
          <w:pgMar w:top="1134" w:right="1191" w:bottom="1134" w:left="1304" w:header="964" w:footer="992" w:gutter="0"/>
          <w:pgNumType w:fmt="decimal" w:start="1"/>
          <w:cols w:space="720" w:num="1"/>
          <w:docGrid w:linePitch="312" w:charSpace="0"/>
        </w:sectPr>
      </w:pPr>
    </w:p>
    <w:p>
      <w:pPr>
        <w:pStyle w:val="5"/>
        <w:jc w:val="center"/>
        <w:rPr>
          <w:rFonts w:ascii="微软雅黑" w:hAnsi="微软雅黑" w:eastAsia="微软雅黑"/>
          <w:b/>
          <w:sz w:val="36"/>
          <w:szCs w:val="36"/>
        </w:rPr>
      </w:pPr>
      <w:bookmarkStart w:id="9" w:name="_Toc11641050"/>
      <w:bookmarkStart w:id="10" w:name="_Toc12789052"/>
      <w:bookmarkStart w:id="11" w:name="_Toc104541037"/>
      <w:bookmarkStart w:id="12" w:name="_Toc21722"/>
      <w:bookmarkStart w:id="13" w:name="_Toc11930"/>
      <w:r>
        <w:rPr>
          <w:rFonts w:hint="eastAsia" w:ascii="微软雅黑" w:hAnsi="微软雅黑" w:eastAsia="微软雅黑"/>
          <w:b/>
          <w:sz w:val="36"/>
          <w:szCs w:val="36"/>
        </w:rPr>
        <w:t>第一篇  评比邀请书</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ascii="微软雅黑" w:hAnsi="微软雅黑" w:eastAsia="微软雅黑"/>
          <w:szCs w:val="21"/>
        </w:rPr>
      </w:pPr>
      <w:r>
        <w:rPr>
          <w:rFonts w:ascii="微软雅黑" w:hAnsi="微软雅黑" w:eastAsia="微软雅黑"/>
          <w:szCs w:val="21"/>
        </w:rPr>
        <w:t>为了公开、公平、公正、高效地完成重庆市招商投资促进</w:t>
      </w:r>
      <w:r>
        <w:rPr>
          <w:rFonts w:hint="eastAsia" w:ascii="微软雅黑" w:hAnsi="微软雅黑" w:eastAsia="微软雅黑"/>
          <w:szCs w:val="21"/>
          <w:lang w:eastAsia="zh-CN"/>
        </w:rPr>
        <w:t>中心</w:t>
      </w:r>
      <w:r>
        <w:rPr>
          <w:rFonts w:ascii="微软雅黑" w:hAnsi="微软雅黑" w:eastAsia="微软雅黑"/>
          <w:szCs w:val="21"/>
        </w:rPr>
        <w:t>采购项目的招标采购工作，根据《中华人民共和国政府采购法》、《中华人民共和国政府采购法实施条例》等有关规定</w:t>
      </w:r>
      <w:r>
        <w:rPr>
          <w:rFonts w:hint="eastAsia" w:ascii="微软雅黑" w:hAnsi="微软雅黑" w:eastAsia="微软雅黑"/>
          <w:szCs w:val="21"/>
          <w:lang w:eastAsia="zh-CN"/>
        </w:rPr>
        <w:t>，</w:t>
      </w:r>
      <w:r>
        <w:rPr>
          <w:rFonts w:ascii="微软雅黑" w:hAnsi="微软雅黑" w:eastAsia="微软雅黑"/>
          <w:szCs w:val="21"/>
          <w:highlight w:val="none"/>
        </w:rPr>
        <w:t>我</w:t>
      </w:r>
      <w:r>
        <w:rPr>
          <w:rFonts w:hint="eastAsia" w:ascii="微软雅黑" w:hAnsi="微软雅黑" w:eastAsia="微软雅黑"/>
          <w:szCs w:val="21"/>
          <w:highlight w:val="none"/>
          <w:lang w:eastAsia="zh-CN"/>
        </w:rPr>
        <w:t>中心</w:t>
      </w:r>
      <w:r>
        <w:rPr>
          <w:rFonts w:ascii="微软雅黑" w:hAnsi="微软雅黑" w:eastAsia="微软雅黑"/>
          <w:szCs w:val="21"/>
          <w:highlight w:val="none"/>
        </w:rPr>
        <w:t>对</w:t>
      </w:r>
      <w:r>
        <w:rPr>
          <w:rFonts w:hint="eastAsia" w:ascii="微软雅黑" w:hAnsi="微软雅黑" w:eastAsia="微软雅黑"/>
          <w:szCs w:val="21"/>
          <w:highlight w:val="none"/>
          <w:lang w:eastAsia="zh-CN"/>
        </w:rPr>
        <w:t>2023年重庆市招商投资促进局“投资重庆”微信视频号、官方抖音号视频创意及运营服务</w:t>
      </w:r>
      <w:r>
        <w:rPr>
          <w:rFonts w:ascii="微软雅黑" w:hAnsi="微软雅黑" w:eastAsia="微软雅黑"/>
          <w:szCs w:val="21"/>
          <w:highlight w:val="none"/>
        </w:rPr>
        <w:t>项目进行</w:t>
      </w:r>
      <w:r>
        <w:rPr>
          <w:rFonts w:hint="eastAsia" w:ascii="微软雅黑" w:hAnsi="微软雅黑" w:eastAsia="微软雅黑"/>
          <w:szCs w:val="21"/>
          <w:highlight w:val="none"/>
        </w:rPr>
        <w:t>评比</w:t>
      </w:r>
      <w:r>
        <w:rPr>
          <w:rFonts w:ascii="微软雅黑" w:hAnsi="微软雅黑" w:eastAsia="微软雅黑"/>
          <w:szCs w:val="21"/>
          <w:highlight w:val="none"/>
        </w:rPr>
        <w:t>采购。欢迎</w:t>
      </w:r>
      <w:r>
        <w:rPr>
          <w:rFonts w:hint="eastAsia" w:ascii="微软雅黑" w:hAnsi="微软雅黑" w:eastAsia="微软雅黑"/>
          <w:szCs w:val="21"/>
        </w:rPr>
        <w:t>有</w:t>
      </w:r>
      <w:r>
        <w:rPr>
          <w:rFonts w:ascii="微软雅黑" w:hAnsi="微软雅黑" w:eastAsia="微软雅黑"/>
          <w:szCs w:val="21"/>
        </w:rPr>
        <w:t>资格的供应商前来参与</w:t>
      </w:r>
      <w:r>
        <w:rPr>
          <w:rFonts w:hint="eastAsia" w:ascii="微软雅黑" w:hAnsi="微软雅黑" w:eastAsia="微软雅黑"/>
          <w:szCs w:val="21"/>
        </w:rPr>
        <w:t>评比</w:t>
      </w:r>
      <w:r>
        <w:rPr>
          <w:rFonts w:ascii="微软雅黑" w:hAnsi="微软雅黑" w:eastAsia="微软雅黑"/>
          <w:szCs w:val="21"/>
        </w:rPr>
        <w:t>。</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14" w:name="_Toc104541038"/>
      <w:bookmarkStart w:id="15" w:name="_Toc313893526"/>
      <w:bookmarkStart w:id="16" w:name="_Toc25931"/>
      <w:bookmarkStart w:id="17" w:name="_Toc317775175"/>
      <w:bookmarkStart w:id="18" w:name="_Toc3042"/>
      <w:r>
        <w:rPr>
          <w:rFonts w:hint="eastAsia" w:ascii="微软雅黑" w:hAnsi="微软雅黑" w:eastAsia="微软雅黑"/>
          <w:b/>
          <w:sz w:val="24"/>
        </w:rPr>
        <w:t>一、评比内容</w:t>
      </w:r>
      <w:bookmarkEnd w:id="14"/>
      <w:bookmarkEnd w:id="15"/>
      <w:bookmarkEnd w:id="16"/>
      <w:bookmarkEnd w:id="17"/>
      <w:bookmarkEnd w:id="18"/>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1785"/>
        <w:gridCol w:w="188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810" w:type="dxa"/>
            <w:vAlign w:val="center"/>
          </w:tcPr>
          <w:p>
            <w:pPr>
              <w:pageBreakBefore w:val="0"/>
              <w:widowControl w:val="0"/>
              <w:kinsoku/>
              <w:wordWrap/>
              <w:overflowPunct/>
              <w:topLinePunct w:val="0"/>
              <w:autoSpaceDE/>
              <w:autoSpaceDN/>
              <w:bidi w:val="0"/>
              <w:adjustRightInd w:val="0"/>
              <w:snapToGrid w:val="0"/>
              <w:spacing w:line="480" w:lineRule="exact"/>
              <w:jc w:val="center"/>
              <w:textAlignment w:val="auto"/>
              <w:rPr>
                <w:rFonts w:ascii="微软雅黑" w:hAnsi="微软雅黑" w:eastAsia="微软雅黑"/>
                <w:b/>
                <w:sz w:val="24"/>
                <w:szCs w:val="20"/>
              </w:rPr>
            </w:pPr>
            <w:r>
              <w:rPr>
                <w:rFonts w:hint="eastAsia" w:ascii="微软雅黑" w:hAnsi="微软雅黑" w:eastAsia="微软雅黑"/>
                <w:b/>
                <w:sz w:val="24"/>
                <w:szCs w:val="20"/>
              </w:rPr>
              <w:t>采购内容</w:t>
            </w:r>
          </w:p>
        </w:tc>
        <w:tc>
          <w:tcPr>
            <w:tcW w:w="1785" w:type="dxa"/>
            <w:vAlign w:val="center"/>
          </w:tcPr>
          <w:p>
            <w:pPr>
              <w:pageBreakBefore w:val="0"/>
              <w:widowControl w:val="0"/>
              <w:kinsoku/>
              <w:wordWrap/>
              <w:overflowPunct/>
              <w:topLinePunct w:val="0"/>
              <w:autoSpaceDE/>
              <w:autoSpaceDN/>
              <w:bidi w:val="0"/>
              <w:adjustRightInd w:val="0"/>
              <w:snapToGrid w:val="0"/>
              <w:spacing w:line="480" w:lineRule="exact"/>
              <w:jc w:val="center"/>
              <w:textAlignment w:val="auto"/>
              <w:rPr>
                <w:rFonts w:ascii="微软雅黑" w:hAnsi="微软雅黑" w:eastAsia="微软雅黑"/>
                <w:b/>
                <w:sz w:val="24"/>
                <w:szCs w:val="20"/>
              </w:rPr>
            </w:pPr>
            <w:r>
              <w:rPr>
                <w:rFonts w:hint="eastAsia" w:ascii="微软雅黑" w:hAnsi="微软雅黑" w:eastAsia="微软雅黑"/>
                <w:b/>
                <w:sz w:val="24"/>
                <w:szCs w:val="20"/>
              </w:rPr>
              <w:t>服务</w:t>
            </w:r>
            <w:r>
              <w:rPr>
                <w:rFonts w:hint="eastAsia" w:ascii="微软雅黑" w:hAnsi="微软雅黑" w:eastAsia="微软雅黑"/>
                <w:b/>
                <w:sz w:val="24"/>
                <w:szCs w:val="20"/>
                <w:lang w:eastAsia="zh-CN"/>
              </w:rPr>
              <w:t>时限</w:t>
            </w:r>
          </w:p>
        </w:tc>
        <w:tc>
          <w:tcPr>
            <w:tcW w:w="1889" w:type="dxa"/>
            <w:vAlign w:val="center"/>
          </w:tcPr>
          <w:p>
            <w:pPr>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b/>
                <w:sz w:val="24"/>
                <w:szCs w:val="20"/>
              </w:rPr>
            </w:pPr>
            <w:r>
              <w:rPr>
                <w:rFonts w:hint="eastAsia" w:ascii="微软雅黑" w:hAnsi="微软雅黑" w:eastAsia="微软雅黑"/>
                <w:b/>
                <w:sz w:val="24"/>
                <w:szCs w:val="20"/>
              </w:rPr>
              <w:t>采购限价</w:t>
            </w:r>
          </w:p>
        </w:tc>
        <w:tc>
          <w:tcPr>
            <w:tcW w:w="1576" w:type="dxa"/>
            <w:vAlign w:val="center"/>
          </w:tcPr>
          <w:p>
            <w:pPr>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b/>
                <w:sz w:val="24"/>
                <w:szCs w:val="20"/>
              </w:rPr>
            </w:pPr>
            <w:r>
              <w:rPr>
                <w:rFonts w:hint="eastAsia" w:ascii="微软雅黑" w:hAnsi="微软雅黑" w:eastAsia="微软雅黑"/>
                <w:b/>
                <w:sz w:val="24"/>
                <w:szCs w:val="20"/>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8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微软雅黑" w:hAnsi="微软雅黑" w:eastAsia="微软雅黑"/>
                <w:szCs w:val="21"/>
              </w:rPr>
            </w:pPr>
            <w:r>
              <w:rPr>
                <w:rFonts w:hint="eastAsia" w:ascii="微软雅黑" w:hAnsi="微软雅黑" w:eastAsia="微软雅黑"/>
                <w:szCs w:val="21"/>
                <w:highlight w:val="none"/>
                <w:lang w:eastAsia="zh-CN"/>
              </w:rPr>
              <w:t>重庆市招商投资促进中心关于</w:t>
            </w:r>
            <w:r>
              <w:rPr>
                <w:rFonts w:hint="default" w:ascii="微软雅黑" w:hAnsi="微软雅黑" w:eastAsia="微软雅黑"/>
                <w:szCs w:val="21"/>
                <w:highlight w:val="none"/>
                <w:lang w:val="en-US" w:eastAsia="zh-CN"/>
              </w:rPr>
              <w:t>2023</w:t>
            </w:r>
            <w:r>
              <w:rPr>
                <w:rFonts w:hint="eastAsia" w:ascii="微软雅黑" w:hAnsi="微软雅黑" w:eastAsia="微软雅黑"/>
                <w:szCs w:val="21"/>
                <w:highlight w:val="none"/>
                <w:lang w:val="en-US" w:eastAsia="zh-CN"/>
              </w:rPr>
              <w:t>年</w:t>
            </w:r>
            <w:r>
              <w:rPr>
                <w:rFonts w:hint="eastAsia" w:ascii="微软雅黑" w:hAnsi="微软雅黑" w:eastAsia="微软雅黑"/>
                <w:szCs w:val="21"/>
                <w:highlight w:val="none"/>
                <w:lang w:eastAsia="zh-CN"/>
              </w:rPr>
              <w:t>“投资重庆”微信视频号、官方抖音号视频创意及运营服务（</w:t>
            </w:r>
            <w:r>
              <w:rPr>
                <w:rFonts w:hint="eastAsia" w:ascii="微软雅黑" w:hAnsi="微软雅黑" w:eastAsia="微软雅黑"/>
                <w:szCs w:val="21"/>
                <w:highlight w:val="none"/>
                <w:lang w:val="en-US" w:eastAsia="zh-CN"/>
              </w:rPr>
              <w:t>40条短视频</w:t>
            </w:r>
            <w:r>
              <w:rPr>
                <w:rFonts w:hint="eastAsia" w:ascii="微软雅黑" w:hAnsi="微软雅黑" w:eastAsia="微软雅黑"/>
                <w:szCs w:val="21"/>
                <w:highlight w:val="none"/>
                <w:lang w:eastAsia="zh-CN"/>
              </w:rPr>
              <w:t>）</w:t>
            </w:r>
          </w:p>
        </w:tc>
        <w:tc>
          <w:tcPr>
            <w:tcW w:w="17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szCs w:val="21"/>
                <w:highlight w:val="yellow"/>
                <w:lang w:val="en-US" w:eastAsia="zh-CN"/>
              </w:rPr>
            </w:pPr>
            <w:r>
              <w:rPr>
                <w:rFonts w:hint="eastAsia" w:ascii="微软雅黑" w:hAnsi="微软雅黑" w:eastAsia="微软雅黑"/>
                <w:szCs w:val="21"/>
                <w:highlight w:val="none"/>
                <w:lang w:val="en-US" w:eastAsia="zh-CN"/>
              </w:rPr>
              <w:t>自合同签订之日起生效，原则上服务期限为1年</w:t>
            </w:r>
          </w:p>
        </w:tc>
        <w:tc>
          <w:tcPr>
            <w:tcW w:w="1889" w:type="dxa"/>
            <w:vAlign w:val="center"/>
          </w:tcPr>
          <w:p>
            <w:pPr>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微软雅黑" w:cs="Times New Roman"/>
                <w:szCs w:val="21"/>
                <w:lang w:val="en-US"/>
              </w:rPr>
            </w:pPr>
            <w:r>
              <w:rPr>
                <w:rFonts w:hint="eastAsia" w:ascii="微软雅黑" w:hAnsi="微软雅黑" w:eastAsia="微软雅黑"/>
                <w:szCs w:val="21"/>
                <w:highlight w:val="none"/>
                <w:lang w:val="en-US" w:eastAsia="zh-CN"/>
              </w:rPr>
              <w:t>36万元（含）</w:t>
            </w:r>
          </w:p>
        </w:tc>
        <w:tc>
          <w:tcPr>
            <w:tcW w:w="1576" w:type="dxa"/>
            <w:vAlign w:val="center"/>
          </w:tcPr>
          <w:p>
            <w:pPr>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微软雅黑" w:cs="Times New Roman"/>
                <w:kern w:val="0"/>
                <w:szCs w:val="21"/>
                <w:lang w:val="en-US" w:eastAsia="zh-CN"/>
              </w:rPr>
            </w:pPr>
            <w:r>
              <w:rPr>
                <w:rFonts w:hint="default" w:ascii="Times New Roman" w:hAnsi="Times New Roman" w:eastAsia="微软雅黑" w:cs="Times New Roman"/>
                <w:kern w:val="0"/>
                <w:szCs w:val="21"/>
                <w:lang w:val="en-US" w:eastAsia="zh-CN"/>
              </w:rPr>
              <w:t>1</w:t>
            </w:r>
          </w:p>
        </w:tc>
      </w:tr>
    </w:tbl>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19" w:name="_Toc14949"/>
      <w:bookmarkStart w:id="20" w:name="_Toc9063"/>
      <w:r>
        <w:rPr>
          <w:rFonts w:ascii="微软雅黑" w:hAnsi="微软雅黑" w:eastAsia="微软雅黑"/>
          <w:b/>
          <w:sz w:val="24"/>
        </w:rPr>
        <w:t>二、供应商资格条件</w:t>
      </w:r>
      <w:bookmarkEnd w:id="19"/>
      <w:bookmarkEnd w:id="20"/>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bookmarkStart w:id="21" w:name="_Toc495587755"/>
      <w:r>
        <w:rPr>
          <w:rFonts w:ascii="微软雅黑" w:hAnsi="微软雅黑" w:eastAsia="微软雅黑"/>
          <w:szCs w:val="21"/>
        </w:rPr>
        <w:t>合格的供应商应符合政府采购法第二十二条规定的基本资格条件</w:t>
      </w:r>
      <w:r>
        <w:rPr>
          <w:rFonts w:hint="eastAsia" w:ascii="微软雅黑" w:hAnsi="微软雅黑" w:eastAsia="微软雅黑"/>
          <w:szCs w:val="21"/>
        </w:rPr>
        <w:t>：</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（一）基本资格条件</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1. 具有独立承担民事责任的能力；</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2. 具有良好的商业信誉和健全的财务会计制度；</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3. 具有履行合同所必需的</w:t>
      </w:r>
      <w:r>
        <w:rPr>
          <w:rFonts w:hint="eastAsia" w:ascii="微软雅黑" w:hAnsi="微软雅黑" w:eastAsia="微软雅黑"/>
          <w:szCs w:val="21"/>
          <w:lang w:eastAsia="zh-CN"/>
        </w:rPr>
        <w:t>执行团队和服务能力</w:t>
      </w:r>
      <w:r>
        <w:rPr>
          <w:rFonts w:ascii="微软雅黑" w:hAnsi="微软雅黑" w:eastAsia="微软雅黑"/>
          <w:szCs w:val="21"/>
        </w:rPr>
        <w:t>；</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4. 有依法缴纳税收的良好记录；</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5. 参加政府采购活动前三年内，在经营活动中没有重大违法记录；</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bookmarkStart w:id="22" w:name="_Toc1812"/>
      <w:r>
        <w:rPr>
          <w:rFonts w:ascii="微软雅黑" w:hAnsi="微软雅黑" w:eastAsia="微软雅黑"/>
          <w:szCs w:val="21"/>
        </w:rPr>
        <w:t>6. 法律、行政法规规定的其他条件。</w:t>
      </w:r>
      <w:bookmarkEnd w:id="22"/>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（二）特定资格条件</w:t>
      </w:r>
    </w:p>
    <w:p>
      <w:pPr>
        <w:pStyle w:val="5"/>
        <w:pageBreakBefore w:val="0"/>
        <w:widowControl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kern w:val="2"/>
          <w:sz w:val="21"/>
          <w:szCs w:val="21"/>
          <w:lang w:val="en-US" w:eastAsia="zh-CN" w:bidi="ar-SA"/>
        </w:rPr>
      </w:pPr>
      <w:bookmarkStart w:id="23" w:name="_Toc17849"/>
      <w:bookmarkStart w:id="24" w:name="_Toc28087"/>
      <w:r>
        <w:rPr>
          <w:rFonts w:hint="eastAsia" w:ascii="微软雅黑" w:hAnsi="微软雅黑" w:eastAsia="微软雅黑" w:cs="Times New Roman"/>
          <w:kern w:val="2"/>
          <w:sz w:val="21"/>
          <w:szCs w:val="21"/>
          <w:lang w:val="en-US" w:eastAsia="zh-CN" w:bidi="ar-SA"/>
        </w:rPr>
        <w:t>本项目的特定资格要求：供应商营业执照经营范围须涵盖摄影摄像服务或其他与视频拍摄服务等相关业务（提供营业执照复印件并加盖供应商公章）。</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r>
        <w:rPr>
          <w:rFonts w:ascii="微软雅黑" w:hAnsi="微软雅黑" w:eastAsia="微软雅黑"/>
          <w:b/>
          <w:sz w:val="24"/>
        </w:rPr>
        <w:t>三</w:t>
      </w:r>
      <w:r>
        <w:rPr>
          <w:rFonts w:hint="eastAsia" w:ascii="微软雅黑" w:hAnsi="微软雅黑" w:eastAsia="微软雅黑"/>
          <w:b/>
          <w:sz w:val="24"/>
        </w:rPr>
        <w:t>、评比</w:t>
      </w:r>
      <w:r>
        <w:rPr>
          <w:rFonts w:ascii="微软雅黑" w:hAnsi="微软雅黑" w:eastAsia="微软雅黑"/>
          <w:b/>
          <w:sz w:val="24"/>
        </w:rPr>
        <w:t>有关说明</w:t>
      </w:r>
      <w:bookmarkEnd w:id="21"/>
      <w:bookmarkEnd w:id="23"/>
      <w:bookmarkEnd w:id="24"/>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（一）本项目最高限价为</w:t>
      </w:r>
      <w:r>
        <w:rPr>
          <w:rFonts w:hint="eastAsia" w:ascii="微软雅黑" w:hAnsi="微软雅黑" w:eastAsia="微软雅黑"/>
          <w:szCs w:val="21"/>
          <w:lang w:val="en-US" w:eastAsia="zh-CN"/>
        </w:rPr>
        <w:t>36</w:t>
      </w:r>
      <w:r>
        <w:rPr>
          <w:rFonts w:ascii="微软雅黑" w:hAnsi="微软雅黑" w:eastAsia="微软雅黑"/>
          <w:szCs w:val="21"/>
        </w:rPr>
        <w:t>万元（含）以下</w:t>
      </w:r>
      <w:r>
        <w:rPr>
          <w:rFonts w:hint="eastAsia" w:ascii="微软雅黑" w:hAnsi="微软雅黑" w:eastAsia="微软雅黑"/>
          <w:szCs w:val="21"/>
          <w:lang w:eastAsia="zh-CN"/>
        </w:rPr>
        <w:t>，</w:t>
      </w:r>
      <w:r>
        <w:rPr>
          <w:rFonts w:hint="eastAsia" w:ascii="微软雅黑" w:hAnsi="微软雅黑" w:eastAsia="微软雅黑"/>
          <w:szCs w:val="21"/>
        </w:rPr>
        <w:t>服务费用构成：微信视频号、官方抖音号的视频拍摄创意服务</w:t>
      </w:r>
      <w:r>
        <w:rPr>
          <w:rFonts w:hint="eastAsia" w:ascii="微软雅黑" w:hAnsi="微软雅黑" w:eastAsia="微软雅黑"/>
          <w:szCs w:val="21"/>
          <w:lang w:eastAsia="zh-CN"/>
        </w:rPr>
        <w:t>（含视频文案策划，不含文案英文翻译）</w:t>
      </w:r>
      <w:r>
        <w:rPr>
          <w:rFonts w:hint="eastAsia" w:ascii="微软雅黑" w:hAnsi="微软雅黑" w:eastAsia="微软雅黑"/>
          <w:szCs w:val="21"/>
        </w:rPr>
        <w:t>，视频素材提供、</w:t>
      </w:r>
      <w:r>
        <w:rPr>
          <w:rFonts w:hint="eastAsia" w:ascii="微软雅黑" w:hAnsi="微软雅黑" w:eastAsia="微软雅黑"/>
          <w:szCs w:val="21"/>
          <w:lang w:eastAsia="zh-CN"/>
        </w:rPr>
        <w:t>拍摄、</w:t>
      </w:r>
      <w:r>
        <w:rPr>
          <w:rFonts w:hint="eastAsia" w:ascii="微软雅黑" w:hAnsi="微软雅黑" w:eastAsia="微软雅黑"/>
          <w:szCs w:val="21"/>
        </w:rPr>
        <w:t>剪辑、包装、英文配音及字幕等</w:t>
      </w:r>
      <w:r>
        <w:rPr>
          <w:rFonts w:hint="eastAsia" w:ascii="微软雅黑" w:hAnsi="微软雅黑" w:eastAsia="微软雅黑"/>
          <w:szCs w:val="21"/>
          <w:lang w:eastAsia="zh-CN"/>
        </w:rPr>
        <w:t>服务，视频发布、浏览数据动态关注等运营服务</w:t>
      </w:r>
      <w:r>
        <w:rPr>
          <w:rFonts w:hint="eastAsia" w:ascii="微软雅黑" w:hAnsi="微软雅黑" w:eastAsia="微软雅黑"/>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highlight w:val="none"/>
        </w:rPr>
      </w:pPr>
      <w:r>
        <w:rPr>
          <w:rFonts w:ascii="微软雅黑" w:hAnsi="微软雅黑" w:eastAsia="微软雅黑"/>
          <w:szCs w:val="21"/>
          <w:highlight w:val="none"/>
        </w:rPr>
        <w:t>（二）</w:t>
      </w:r>
      <w:r>
        <w:rPr>
          <w:rFonts w:hint="eastAsia" w:ascii="微软雅黑" w:hAnsi="微软雅黑" w:eastAsia="微软雅黑"/>
          <w:szCs w:val="21"/>
          <w:highlight w:val="none"/>
        </w:rPr>
        <w:t>提交响应</w:t>
      </w:r>
      <w:r>
        <w:rPr>
          <w:rFonts w:ascii="微软雅黑" w:hAnsi="微软雅黑" w:eastAsia="微软雅黑"/>
          <w:szCs w:val="21"/>
          <w:highlight w:val="none"/>
        </w:rPr>
        <w:t>文件地点：重庆市招商投资促进</w:t>
      </w:r>
      <w:r>
        <w:rPr>
          <w:rFonts w:hint="eastAsia" w:ascii="微软雅黑" w:hAnsi="微软雅黑" w:eastAsia="微软雅黑"/>
          <w:szCs w:val="21"/>
          <w:highlight w:val="none"/>
          <w:lang w:eastAsia="zh-CN"/>
        </w:rPr>
        <w:t>中心</w:t>
      </w:r>
      <w:r>
        <w:rPr>
          <w:rFonts w:hint="eastAsia" w:ascii="微软雅黑" w:hAnsi="微软雅黑" w:eastAsia="微软雅黑"/>
          <w:szCs w:val="21"/>
          <w:highlight w:val="none"/>
        </w:rPr>
        <w:t>508会议室；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微软雅黑" w:hAnsi="微软雅黑" w:eastAsia="微软雅黑"/>
          <w:szCs w:val="21"/>
          <w:highlight w:val="none"/>
        </w:rPr>
      </w:pPr>
      <w:bookmarkStart w:id="25" w:name="_Toc8539"/>
      <w:bookmarkStart w:id="26" w:name="_Toc2049"/>
      <w:r>
        <w:rPr>
          <w:rFonts w:hint="eastAsia" w:ascii="微软雅黑" w:hAnsi="微软雅黑" w:eastAsia="微软雅黑"/>
          <w:szCs w:val="21"/>
          <w:highlight w:val="none"/>
        </w:rPr>
        <w:t>（三）评比文件公告期限：自采购公告发</w:t>
      </w:r>
      <w:r>
        <w:rPr>
          <w:rFonts w:hint="default" w:ascii="微软雅黑" w:hAnsi="微软雅黑" w:eastAsia="微软雅黑"/>
          <w:szCs w:val="21"/>
          <w:highlight w:val="none"/>
        </w:rPr>
        <w:t>布之日（202</w:t>
      </w:r>
      <w:r>
        <w:rPr>
          <w:rFonts w:hint="eastAsia" w:ascii="微软雅黑" w:hAnsi="微软雅黑" w:eastAsia="微软雅黑"/>
          <w:szCs w:val="21"/>
          <w:highlight w:val="none"/>
          <w:lang w:val="en-US" w:eastAsia="zh-CN"/>
        </w:rPr>
        <w:t>3</w:t>
      </w:r>
      <w:r>
        <w:rPr>
          <w:rFonts w:hint="default" w:ascii="微软雅黑" w:hAnsi="微软雅黑" w:eastAsia="微软雅黑"/>
          <w:szCs w:val="21"/>
          <w:highlight w:val="none"/>
        </w:rPr>
        <w:t>年</w:t>
      </w:r>
      <w:r>
        <w:rPr>
          <w:rFonts w:hint="eastAsia" w:ascii="微软雅黑" w:hAnsi="微软雅黑" w:eastAsia="微软雅黑"/>
          <w:szCs w:val="21"/>
          <w:highlight w:val="none"/>
          <w:lang w:val="en-US" w:eastAsia="zh-CN"/>
        </w:rPr>
        <w:t>3</w:t>
      </w:r>
      <w:r>
        <w:rPr>
          <w:rFonts w:hint="default"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default" w:ascii="微软雅黑" w:hAnsi="微软雅黑" w:eastAsia="微软雅黑"/>
          <w:szCs w:val="21"/>
          <w:highlight w:val="none"/>
        </w:rPr>
        <w:t>日）</w:t>
      </w:r>
      <w:r>
        <w:rPr>
          <w:rFonts w:hint="default" w:ascii="微软雅黑" w:hAnsi="微软雅黑" w:eastAsia="微软雅黑"/>
          <w:szCs w:val="21"/>
          <w:highlight w:val="none"/>
          <w:lang w:eastAsia="zh-CN"/>
        </w:rPr>
        <w:t>至</w:t>
      </w:r>
      <w:r>
        <w:rPr>
          <w:rFonts w:hint="default" w:ascii="微软雅黑" w:hAnsi="微软雅黑" w:eastAsia="微软雅黑"/>
          <w:szCs w:val="21"/>
          <w:highlight w:val="none"/>
        </w:rPr>
        <w:t>202</w:t>
      </w:r>
      <w:r>
        <w:rPr>
          <w:rFonts w:hint="eastAsia" w:ascii="微软雅黑" w:hAnsi="微软雅黑" w:eastAsia="微软雅黑"/>
          <w:szCs w:val="21"/>
          <w:highlight w:val="none"/>
          <w:lang w:val="en-US" w:eastAsia="zh-CN"/>
        </w:rPr>
        <w:t>3</w:t>
      </w:r>
      <w:r>
        <w:rPr>
          <w:rFonts w:hint="default" w:ascii="微软雅黑" w:hAnsi="微软雅黑" w:eastAsia="微软雅黑"/>
          <w:szCs w:val="21"/>
          <w:highlight w:val="none"/>
        </w:rPr>
        <w:t>年</w:t>
      </w:r>
      <w:r>
        <w:rPr>
          <w:rFonts w:hint="eastAsia" w:ascii="微软雅黑" w:hAnsi="微软雅黑" w:eastAsia="微软雅黑"/>
          <w:szCs w:val="21"/>
          <w:highlight w:val="none"/>
          <w:lang w:val="en-US" w:eastAsia="zh-CN"/>
        </w:rPr>
        <w:t>3</w:t>
      </w:r>
      <w:r>
        <w:rPr>
          <w:rFonts w:hint="default"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default" w:ascii="微软雅黑" w:hAnsi="微软雅黑" w:eastAsia="微软雅黑"/>
          <w:szCs w:val="21"/>
          <w:highlight w:val="none"/>
        </w:rPr>
        <w:t>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highlight w:val="none"/>
        </w:rPr>
      </w:pPr>
      <w:r>
        <w:rPr>
          <w:rFonts w:ascii="微软雅黑" w:hAnsi="微软雅黑" w:eastAsia="微软雅黑"/>
          <w:szCs w:val="21"/>
          <w:highlight w:val="none"/>
        </w:rPr>
        <w:t>（</w:t>
      </w:r>
      <w:r>
        <w:rPr>
          <w:rFonts w:hint="eastAsia" w:ascii="微软雅黑" w:hAnsi="微软雅黑" w:eastAsia="微软雅黑"/>
          <w:szCs w:val="21"/>
          <w:highlight w:val="none"/>
        </w:rPr>
        <w:t>四</w:t>
      </w:r>
      <w:r>
        <w:rPr>
          <w:rFonts w:ascii="微软雅黑" w:hAnsi="微软雅黑" w:eastAsia="微软雅黑"/>
          <w:szCs w:val="21"/>
          <w:highlight w:val="none"/>
        </w:rPr>
        <w:t>）响应文件递交开始时间：</w:t>
      </w:r>
      <w:r>
        <w:rPr>
          <w:rFonts w:hint="default" w:ascii="Times New Roman" w:hAnsi="Times New Roman" w:eastAsia="微软雅黑" w:cs="Times New Roman"/>
          <w:szCs w:val="21"/>
          <w:highlight w:val="none"/>
        </w:rPr>
        <w:t>202</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年</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月</w:t>
      </w:r>
      <w:r>
        <w:rPr>
          <w:rFonts w:hint="eastAsia" w:eastAsia="微软雅黑" w:cs="Times New Roman"/>
          <w:szCs w:val="21"/>
          <w:highlight w:val="none"/>
          <w:lang w:val="en-US" w:eastAsia="zh-CN"/>
        </w:rPr>
        <w:t>10</w:t>
      </w:r>
      <w:r>
        <w:rPr>
          <w:rFonts w:hint="default" w:ascii="Times New Roman" w:hAnsi="Times New Roman" w:eastAsia="微软雅黑" w:cs="Times New Roman"/>
          <w:szCs w:val="21"/>
          <w:highlight w:val="none"/>
        </w:rPr>
        <w:t>日北京时间</w:t>
      </w:r>
      <w:r>
        <w:rPr>
          <w:rFonts w:hint="eastAsia" w:eastAsia="微软雅黑" w:cs="Times New Roman"/>
          <w:szCs w:val="21"/>
          <w:highlight w:val="none"/>
          <w:lang w:val="en-US" w:eastAsia="zh-CN"/>
        </w:rPr>
        <w:t>17</w:t>
      </w:r>
      <w:r>
        <w:rPr>
          <w:rFonts w:hint="default" w:ascii="Times New Roman" w:hAnsi="Times New Roman" w:eastAsia="微软雅黑" w:cs="Times New Roman"/>
          <w:szCs w:val="21"/>
          <w:highlight w:val="none"/>
        </w:rPr>
        <w:t>时</w:t>
      </w:r>
      <w:r>
        <w:rPr>
          <w:rFonts w:hint="eastAsia" w:eastAsia="微软雅黑" w:cs="Times New Roman"/>
          <w:szCs w:val="21"/>
          <w:highlight w:val="none"/>
          <w:lang w:val="en-US" w:eastAsia="zh-CN"/>
        </w:rPr>
        <w:t>3</w:t>
      </w:r>
      <w:bookmarkStart w:id="194" w:name="_GoBack"/>
      <w:bookmarkEnd w:id="194"/>
      <w:r>
        <w:rPr>
          <w:rFonts w:hint="default" w:ascii="Times New Roman" w:hAnsi="Times New Roman" w:eastAsia="微软雅黑" w:cs="Times New Roman"/>
          <w:szCs w:val="21"/>
          <w:highlight w:val="none"/>
        </w:rPr>
        <w:t>0分</w:t>
      </w:r>
      <w:r>
        <w:rPr>
          <w:rFonts w:ascii="微软雅黑" w:hAnsi="微软雅黑" w:eastAsia="微软雅黑"/>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highlight w:val="none"/>
        </w:rPr>
      </w:pPr>
      <w:r>
        <w:rPr>
          <w:rFonts w:ascii="微软雅黑" w:hAnsi="微软雅黑" w:eastAsia="微软雅黑"/>
          <w:szCs w:val="21"/>
          <w:highlight w:val="none"/>
        </w:rPr>
        <w:t>（</w:t>
      </w:r>
      <w:r>
        <w:rPr>
          <w:rFonts w:hint="eastAsia" w:ascii="微软雅黑" w:hAnsi="微软雅黑" w:eastAsia="微软雅黑"/>
          <w:szCs w:val="21"/>
          <w:highlight w:val="none"/>
        </w:rPr>
        <w:t>五</w:t>
      </w:r>
      <w:r>
        <w:rPr>
          <w:rFonts w:ascii="微软雅黑" w:hAnsi="微软雅黑" w:eastAsia="微软雅黑"/>
          <w:szCs w:val="21"/>
          <w:highlight w:val="none"/>
        </w:rPr>
        <w:t>）响应文件递交截止时间：</w:t>
      </w:r>
      <w:r>
        <w:rPr>
          <w:rFonts w:hint="default" w:ascii="Times New Roman" w:hAnsi="Times New Roman" w:eastAsia="微软雅黑" w:cs="Times New Roman"/>
          <w:szCs w:val="21"/>
          <w:highlight w:val="none"/>
        </w:rPr>
        <w:t>202</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年</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月</w:t>
      </w:r>
      <w:r>
        <w:rPr>
          <w:rFonts w:hint="eastAsia" w:eastAsia="微软雅黑" w:cs="Times New Roman"/>
          <w:szCs w:val="21"/>
          <w:highlight w:val="none"/>
          <w:lang w:val="en-US" w:eastAsia="zh-CN"/>
        </w:rPr>
        <w:t>15</w:t>
      </w:r>
      <w:r>
        <w:rPr>
          <w:rFonts w:hint="default" w:ascii="Times New Roman" w:hAnsi="Times New Roman" w:eastAsia="微软雅黑" w:cs="Times New Roman"/>
          <w:szCs w:val="21"/>
          <w:highlight w:val="none"/>
        </w:rPr>
        <w:t>日北京时间18时00分；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highlight w:val="none"/>
        </w:rPr>
      </w:pPr>
      <w:r>
        <w:rPr>
          <w:rFonts w:hint="eastAsia" w:ascii="微软雅黑" w:hAnsi="微软雅黑" w:eastAsia="微软雅黑"/>
          <w:szCs w:val="21"/>
          <w:highlight w:val="none"/>
        </w:rPr>
        <w:t>（六）评比时</w:t>
      </w:r>
      <w:r>
        <w:rPr>
          <w:rFonts w:hint="default" w:ascii="Times New Roman" w:hAnsi="Times New Roman" w:eastAsia="微软雅黑" w:cs="Times New Roman"/>
          <w:szCs w:val="21"/>
          <w:highlight w:val="none"/>
        </w:rPr>
        <w:t>间：202</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年</w:t>
      </w:r>
      <w:r>
        <w:rPr>
          <w:rFonts w:hint="eastAsia" w:eastAsia="微软雅黑" w:cs="Times New Roman"/>
          <w:szCs w:val="21"/>
          <w:highlight w:val="none"/>
          <w:lang w:val="en-US" w:eastAsia="zh-CN"/>
        </w:rPr>
        <w:t>3</w:t>
      </w:r>
      <w:r>
        <w:rPr>
          <w:rFonts w:hint="default" w:ascii="Times New Roman" w:hAnsi="Times New Roman" w:eastAsia="微软雅黑" w:cs="Times New Roman"/>
          <w:szCs w:val="21"/>
          <w:highlight w:val="none"/>
        </w:rPr>
        <w:t>月</w:t>
      </w:r>
      <w:r>
        <w:rPr>
          <w:rFonts w:hint="eastAsia" w:eastAsia="微软雅黑" w:cs="Times New Roman"/>
          <w:szCs w:val="21"/>
          <w:highlight w:val="none"/>
          <w:lang w:val="en-US" w:eastAsia="zh-CN"/>
        </w:rPr>
        <w:t>17</w:t>
      </w:r>
      <w:r>
        <w:rPr>
          <w:rFonts w:hint="default" w:ascii="Times New Roman" w:hAnsi="Times New Roman" w:eastAsia="微软雅黑" w:cs="Times New Roman"/>
          <w:szCs w:val="21"/>
          <w:highlight w:val="none"/>
        </w:rPr>
        <w:t>日北京时间10时00分</w:t>
      </w:r>
      <w:r>
        <w:rPr>
          <w:rFonts w:hint="eastAsia" w:eastAsia="微软雅黑" w:cs="Times New Roman"/>
          <w:szCs w:val="21"/>
          <w:highlight w:val="none"/>
          <w:lang w:eastAsia="zh-CN"/>
        </w:rPr>
        <w:t>（暂定）</w:t>
      </w:r>
      <w:r>
        <w:rPr>
          <w:rFonts w:hint="default" w:ascii="Times New Roman" w:hAnsi="Times New Roman" w:eastAsia="微软雅黑"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highlight w:val="none"/>
        </w:rPr>
      </w:pPr>
      <w:r>
        <w:rPr>
          <w:rFonts w:hint="eastAsia" w:ascii="微软雅黑" w:hAnsi="微软雅黑" w:eastAsia="微软雅黑"/>
          <w:szCs w:val="21"/>
          <w:highlight w:val="none"/>
        </w:rPr>
        <w:t>（七）评比</w:t>
      </w:r>
      <w:r>
        <w:rPr>
          <w:rFonts w:ascii="微软雅黑" w:hAnsi="微软雅黑" w:eastAsia="微软雅黑"/>
          <w:szCs w:val="21"/>
          <w:highlight w:val="none"/>
        </w:rPr>
        <w:t>地点</w:t>
      </w:r>
      <w:r>
        <w:rPr>
          <w:rFonts w:hint="eastAsia" w:ascii="微软雅黑" w:hAnsi="微软雅黑" w:eastAsia="微软雅黑"/>
          <w:szCs w:val="21"/>
          <w:highlight w:val="none"/>
        </w:rPr>
        <w:t>：同提交响应文件地点。</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r>
        <w:rPr>
          <w:rFonts w:hint="eastAsia" w:ascii="微软雅黑" w:hAnsi="微软雅黑" w:eastAsia="微软雅黑"/>
          <w:b/>
          <w:sz w:val="24"/>
        </w:rPr>
        <w:t>四、其他</w:t>
      </w:r>
      <w:r>
        <w:rPr>
          <w:rFonts w:ascii="微软雅黑" w:hAnsi="微软雅黑" w:eastAsia="微软雅黑"/>
          <w:b/>
          <w:sz w:val="24"/>
        </w:rPr>
        <w:t>有关规定</w:t>
      </w:r>
      <w:bookmarkEnd w:id="25"/>
      <w:bookmarkEnd w:id="26"/>
    </w:p>
    <w:p>
      <w:pPr>
        <w:pageBreakBefore w:val="0"/>
        <w:widowControl w:val="0"/>
        <w:kinsoku/>
        <w:wordWrap/>
        <w:overflowPunct/>
        <w:topLinePunct w:val="0"/>
        <w:autoSpaceDE/>
        <w:autoSpaceDN/>
        <w:bidi w:val="0"/>
        <w:snapToGrid w:val="0"/>
        <w:spacing w:line="480" w:lineRule="exact"/>
        <w:ind w:firstLine="420" w:firstLineChars="200"/>
        <w:textAlignment w:val="auto"/>
        <w:rPr>
          <w:rFonts w:ascii="微软雅黑" w:hAnsi="微软雅黑" w:eastAsia="微软雅黑"/>
          <w:szCs w:val="21"/>
        </w:rPr>
      </w:pPr>
      <w:r>
        <w:rPr>
          <w:rFonts w:hint="eastAsia" w:ascii="微软雅黑" w:hAnsi="微软雅黑" w:eastAsia="微软雅黑"/>
          <w:szCs w:val="21"/>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二</w:t>
      </w:r>
      <w:r>
        <w:rPr>
          <w:rFonts w:ascii="微软雅黑" w:hAnsi="微软雅黑" w:eastAsia="微软雅黑"/>
          <w:szCs w:val="21"/>
        </w:rPr>
        <w:t>）超过截止时间递交的响应文件，恕不接收。</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三</w:t>
      </w:r>
      <w:r>
        <w:rPr>
          <w:rFonts w:ascii="微软雅黑" w:hAnsi="微软雅黑" w:eastAsia="微软雅黑"/>
          <w:szCs w:val="21"/>
        </w:rPr>
        <w:t>）</w:t>
      </w:r>
      <w:r>
        <w:rPr>
          <w:rFonts w:hint="eastAsia" w:ascii="微软雅黑" w:hAnsi="微软雅黑" w:eastAsia="微软雅黑"/>
          <w:szCs w:val="21"/>
        </w:rPr>
        <w:t>评比</w:t>
      </w:r>
      <w:r>
        <w:rPr>
          <w:rFonts w:ascii="微软雅黑" w:hAnsi="微软雅黑" w:eastAsia="微软雅黑"/>
          <w:szCs w:val="21"/>
        </w:rPr>
        <w:t>费用：无论</w:t>
      </w:r>
      <w:r>
        <w:rPr>
          <w:rFonts w:hint="eastAsia" w:ascii="微软雅黑" w:hAnsi="微软雅黑" w:eastAsia="微软雅黑"/>
          <w:szCs w:val="21"/>
        </w:rPr>
        <w:t>评比</w:t>
      </w:r>
      <w:r>
        <w:rPr>
          <w:rFonts w:ascii="微软雅黑" w:hAnsi="微软雅黑" w:eastAsia="微软雅黑"/>
          <w:szCs w:val="21"/>
        </w:rPr>
        <w:t>结果如何，供应商参与本项目</w:t>
      </w:r>
      <w:r>
        <w:rPr>
          <w:rFonts w:hint="eastAsia" w:ascii="微软雅黑" w:hAnsi="微软雅黑" w:eastAsia="微软雅黑"/>
          <w:szCs w:val="21"/>
        </w:rPr>
        <w:t>评比</w:t>
      </w:r>
      <w:r>
        <w:rPr>
          <w:rFonts w:ascii="微软雅黑" w:hAnsi="微软雅黑" w:eastAsia="微软雅黑"/>
          <w:szCs w:val="21"/>
        </w:rPr>
        <w:t>的所有费用均应由供应商自行承担。</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四</w:t>
      </w:r>
      <w:r>
        <w:rPr>
          <w:rFonts w:ascii="微软雅黑" w:hAnsi="微软雅黑" w:eastAsia="微软雅黑"/>
          <w:szCs w:val="21"/>
        </w:rPr>
        <w:t>）本项目不接受联合体参与</w:t>
      </w:r>
      <w:r>
        <w:rPr>
          <w:rFonts w:hint="eastAsia" w:ascii="微软雅黑" w:hAnsi="微软雅黑" w:eastAsia="微软雅黑"/>
          <w:szCs w:val="21"/>
        </w:rPr>
        <w:t>评比</w:t>
      </w:r>
      <w:r>
        <w:rPr>
          <w:rFonts w:ascii="微软雅黑" w:hAnsi="微软雅黑" w:eastAsia="微软雅黑"/>
          <w:szCs w:val="21"/>
        </w:rPr>
        <w:t>。</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hint="eastAsia" w:ascii="微软雅黑" w:hAnsi="微软雅黑" w:eastAsia="微软雅黑"/>
          <w:szCs w:val="21"/>
        </w:rPr>
        <w:t>（五</w:t>
      </w:r>
      <w:r>
        <w:rPr>
          <w:rFonts w:ascii="微软雅黑" w:hAnsi="微软雅黑" w:eastAsia="微软雅黑"/>
          <w:szCs w:val="21"/>
        </w:rPr>
        <w:t>）本项目不接受</w:t>
      </w:r>
      <w:r>
        <w:rPr>
          <w:rFonts w:hint="eastAsia" w:ascii="微软雅黑" w:hAnsi="微软雅黑" w:eastAsia="微软雅黑"/>
          <w:szCs w:val="21"/>
        </w:rPr>
        <w:t>合同</w:t>
      </w:r>
      <w:r>
        <w:rPr>
          <w:rFonts w:ascii="微软雅黑" w:hAnsi="微软雅黑" w:eastAsia="微软雅黑"/>
          <w:szCs w:val="21"/>
        </w:rPr>
        <w:t>分包。</w:t>
      </w:r>
      <w:bookmarkStart w:id="27" w:name="OLE_LINK2"/>
      <w:bookmarkStart w:id="28" w:name="OLE_LINK1"/>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lang w:eastAsia="zh-CN"/>
        </w:rPr>
        <w:t>六</w:t>
      </w:r>
      <w:r>
        <w:rPr>
          <w:rFonts w:ascii="微软雅黑" w:hAnsi="微软雅黑" w:eastAsia="微软雅黑"/>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7"/>
      <w:bookmarkEnd w:id="28"/>
      <w:r>
        <w:rPr>
          <w:rFonts w:ascii="微软雅黑" w:hAnsi="微软雅黑" w:eastAsia="微软雅黑"/>
          <w:szCs w:val="21"/>
        </w:rPr>
        <w:t>供应商，将拒绝其参与政府采购活动。</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29" w:name="_Toc18401"/>
      <w:bookmarkStart w:id="30" w:name="_Toc495587759"/>
      <w:bookmarkStart w:id="31" w:name="_Toc16147"/>
      <w:r>
        <w:rPr>
          <w:rFonts w:hint="eastAsia" w:ascii="微软雅黑" w:hAnsi="微软雅黑" w:eastAsia="微软雅黑"/>
          <w:b/>
          <w:sz w:val="24"/>
        </w:rPr>
        <w:t>五</w:t>
      </w:r>
      <w:r>
        <w:rPr>
          <w:rFonts w:ascii="微软雅黑" w:hAnsi="微软雅黑" w:eastAsia="微软雅黑"/>
          <w:b/>
          <w:sz w:val="24"/>
        </w:rPr>
        <w:t>、采购人联系方式</w:t>
      </w:r>
      <w:bookmarkEnd w:id="29"/>
      <w:bookmarkEnd w:id="30"/>
      <w:bookmarkEnd w:id="31"/>
    </w:p>
    <w:p>
      <w:pPr>
        <w:pStyle w:val="5"/>
        <w:pageBreakBefore w:val="0"/>
        <w:widowControl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sz w:val="21"/>
          <w:szCs w:val="21"/>
          <w:lang w:eastAsia="zh-CN"/>
        </w:rPr>
      </w:pPr>
      <w:bookmarkStart w:id="32" w:name="_Toc11470"/>
      <w:bookmarkStart w:id="33" w:name="_Toc2230"/>
      <w:bookmarkStart w:id="34" w:name="_Toc23098"/>
      <w:bookmarkStart w:id="35" w:name="_Toc6065"/>
      <w:r>
        <w:rPr>
          <w:rFonts w:ascii="微软雅黑" w:hAnsi="微软雅黑" w:eastAsia="微软雅黑"/>
          <w:sz w:val="21"/>
          <w:szCs w:val="21"/>
        </w:rPr>
        <w:t>名  称：重庆市招商投资促进</w:t>
      </w:r>
      <w:bookmarkEnd w:id="32"/>
      <w:bookmarkEnd w:id="33"/>
      <w:bookmarkEnd w:id="34"/>
      <w:bookmarkEnd w:id="35"/>
      <w:r>
        <w:rPr>
          <w:rFonts w:hint="eastAsia" w:ascii="微软雅黑" w:hAnsi="微软雅黑" w:eastAsia="微软雅黑"/>
          <w:sz w:val="21"/>
          <w:szCs w:val="21"/>
          <w:lang w:eastAsia="zh-CN"/>
        </w:rPr>
        <w:t>中心</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szCs w:val="21"/>
          <w:lang w:val="en-US" w:eastAsia="zh-CN"/>
        </w:rPr>
      </w:pPr>
      <w:r>
        <w:rPr>
          <w:rFonts w:ascii="微软雅黑" w:hAnsi="微软雅黑" w:eastAsia="微软雅黑"/>
          <w:szCs w:val="21"/>
        </w:rPr>
        <w:t>联系人：</w:t>
      </w:r>
      <w:r>
        <w:rPr>
          <w:rFonts w:hint="eastAsia" w:ascii="微软雅黑" w:hAnsi="微软雅黑" w:eastAsia="微软雅黑"/>
          <w:szCs w:val="21"/>
        </w:rPr>
        <w:t>黄麒霈</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电  话：</w:t>
      </w:r>
      <w:r>
        <w:rPr>
          <w:rFonts w:hint="eastAsia" w:ascii="微软雅黑" w:hAnsi="微软雅黑" w:eastAsia="微软雅黑"/>
          <w:szCs w:val="21"/>
        </w:rPr>
        <w:t>023-63366674</w:t>
      </w:r>
    </w:p>
    <w:p>
      <w:pPr>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szCs w:val="21"/>
        </w:rPr>
      </w:pPr>
      <w:r>
        <w:rPr>
          <w:rFonts w:ascii="微软雅黑" w:hAnsi="微软雅黑" w:eastAsia="微软雅黑"/>
          <w:szCs w:val="21"/>
        </w:rPr>
        <w:t>地  址： 重庆市招商投资促进</w:t>
      </w:r>
      <w:r>
        <w:rPr>
          <w:rFonts w:hint="eastAsia" w:ascii="微软雅黑" w:hAnsi="微软雅黑" w:eastAsia="微软雅黑"/>
          <w:szCs w:val="21"/>
          <w:lang w:eastAsia="zh-CN"/>
        </w:rPr>
        <w:t>中心</w:t>
      </w:r>
      <w:r>
        <w:rPr>
          <w:rFonts w:ascii="微软雅黑" w:hAnsi="微软雅黑" w:eastAsia="微软雅黑"/>
          <w:szCs w:val="21"/>
        </w:rPr>
        <w:t>（重庆市渝北区云杉南路12号涉外商务</w:t>
      </w:r>
      <w:r>
        <w:rPr>
          <w:rFonts w:hint="default" w:ascii="Times New Roman" w:hAnsi="Times New Roman" w:eastAsia="微软雅黑" w:cs="Times New Roman"/>
          <w:szCs w:val="21"/>
        </w:rPr>
        <w:t>区6栋5层505室）</w:t>
      </w:r>
    </w:p>
    <w:p>
      <w:pPr>
        <w:pStyle w:val="5"/>
        <w:adjustRightInd/>
        <w:snapToGrid/>
        <w:spacing w:before="260" w:after="260"/>
        <w:jc w:val="center"/>
        <w:rPr>
          <w:b/>
          <w:bCs/>
          <w:sz w:val="32"/>
          <w:szCs w:val="32"/>
        </w:rPr>
      </w:pPr>
      <w:r>
        <w:rPr>
          <w:szCs w:val="28"/>
        </w:rPr>
        <w:br w:type="page"/>
      </w:r>
      <w:bookmarkStart w:id="36" w:name="_Toc9808"/>
      <w:bookmarkStart w:id="37" w:name="_Toc9589"/>
      <w:r>
        <w:rPr>
          <w:rFonts w:ascii="微软雅黑" w:hAnsi="微软雅黑" w:eastAsia="微软雅黑"/>
          <w:b/>
          <w:sz w:val="36"/>
          <w:szCs w:val="36"/>
        </w:rPr>
        <w:t>第二</w:t>
      </w:r>
      <w:r>
        <w:rPr>
          <w:rFonts w:hint="eastAsia" w:ascii="微软雅黑" w:hAnsi="微软雅黑" w:eastAsia="微软雅黑"/>
          <w:b/>
          <w:sz w:val="36"/>
          <w:szCs w:val="36"/>
        </w:rPr>
        <w:t>篇</w:t>
      </w:r>
      <w:r>
        <w:rPr>
          <w:rFonts w:ascii="微软雅黑" w:hAnsi="微软雅黑" w:eastAsia="微软雅黑"/>
          <w:b/>
          <w:sz w:val="36"/>
          <w:szCs w:val="36"/>
        </w:rPr>
        <w:t xml:space="preserve"> 项目服务要求</w:t>
      </w:r>
      <w:bookmarkEnd w:id="36"/>
      <w:bookmarkEnd w:id="37"/>
    </w:p>
    <w:p>
      <w:pPr>
        <w:pStyle w:val="5"/>
        <w:pageBreakBefore w:val="0"/>
        <w:widowControl w:val="0"/>
        <w:kinsoku/>
        <w:wordWrap/>
        <w:overflowPunct/>
        <w:topLinePunct w:val="0"/>
        <w:autoSpaceDE/>
        <w:autoSpaceDN/>
        <w:bidi w:val="0"/>
        <w:spacing w:line="480" w:lineRule="exact"/>
        <w:ind w:firstLine="421" w:firstLineChars="200"/>
        <w:textAlignment w:val="auto"/>
        <w:rPr>
          <w:rFonts w:ascii="微软雅黑" w:hAnsi="微软雅黑" w:eastAsia="微软雅黑"/>
          <w:b/>
          <w:sz w:val="21"/>
          <w:szCs w:val="21"/>
        </w:rPr>
      </w:pPr>
      <w:bookmarkStart w:id="38" w:name="_Toc16155"/>
      <w:bookmarkStart w:id="39" w:name="_Toc28290"/>
      <w:r>
        <w:rPr>
          <w:rFonts w:hint="eastAsia" w:ascii="微软雅黑" w:hAnsi="微软雅黑" w:eastAsia="微软雅黑"/>
          <w:b/>
          <w:sz w:val="21"/>
          <w:szCs w:val="21"/>
        </w:rPr>
        <w:t>一</w:t>
      </w:r>
      <w:r>
        <w:rPr>
          <w:rFonts w:ascii="微软雅黑" w:hAnsi="微软雅黑" w:eastAsia="微软雅黑"/>
          <w:b/>
          <w:sz w:val="21"/>
          <w:szCs w:val="21"/>
        </w:rPr>
        <w:t>、</w:t>
      </w:r>
      <w:r>
        <w:rPr>
          <w:rFonts w:hint="eastAsia" w:ascii="微软雅黑" w:hAnsi="微软雅黑" w:eastAsia="微软雅黑"/>
          <w:b/>
          <w:sz w:val="21"/>
          <w:szCs w:val="21"/>
        </w:rPr>
        <w:t>采购</w:t>
      </w:r>
      <w:r>
        <w:rPr>
          <w:rFonts w:ascii="微软雅黑" w:hAnsi="微软雅黑" w:eastAsia="微软雅黑"/>
          <w:b/>
          <w:sz w:val="21"/>
          <w:szCs w:val="21"/>
        </w:rPr>
        <w:t>内容</w:t>
      </w:r>
      <w:bookmarkEnd w:id="38"/>
      <w:bookmarkEnd w:id="39"/>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val="en-US" w:eastAsia="zh-CN"/>
        </w:rPr>
      </w:pPr>
      <w:bookmarkStart w:id="40" w:name="_Toc10803"/>
      <w:bookmarkStart w:id="41" w:name="_Toc20670"/>
      <w:r>
        <w:rPr>
          <w:rFonts w:hint="eastAsia" w:ascii="微软雅黑" w:hAnsi="微软雅黑" w:eastAsia="微软雅黑"/>
          <w:sz w:val="21"/>
          <w:szCs w:val="21"/>
          <w:lang w:eastAsia="zh-CN"/>
        </w:rPr>
        <w:t>重庆市招商投资促进中心关于</w:t>
      </w:r>
      <w:r>
        <w:rPr>
          <w:rFonts w:hint="eastAsia" w:ascii="微软雅黑" w:hAnsi="微软雅黑" w:eastAsia="微软雅黑"/>
          <w:sz w:val="21"/>
          <w:szCs w:val="21"/>
          <w:lang w:val="en-US" w:eastAsia="zh-CN"/>
        </w:rPr>
        <w:t>2023年</w:t>
      </w:r>
      <w:r>
        <w:rPr>
          <w:rFonts w:hint="eastAsia" w:ascii="微软雅黑" w:hAnsi="微软雅黑" w:eastAsia="微软雅黑"/>
          <w:sz w:val="21"/>
          <w:szCs w:val="21"/>
          <w:lang w:eastAsia="zh-CN"/>
        </w:rPr>
        <w:t>“投资重庆”微信视频号、官方抖音号视</w:t>
      </w:r>
      <w:r>
        <w:rPr>
          <w:rFonts w:hint="eastAsia" w:ascii="微软雅黑" w:hAnsi="微软雅黑" w:eastAsia="微软雅黑"/>
          <w:sz w:val="21"/>
          <w:szCs w:val="21"/>
          <w:lang w:val="en-US" w:eastAsia="zh-CN"/>
        </w:rPr>
        <w:t>频创意及运营服务。</w:t>
      </w:r>
    </w:p>
    <w:p>
      <w:pPr>
        <w:pStyle w:val="5"/>
        <w:keepNext/>
        <w:keepLines/>
        <w:pageBreakBefore w:val="0"/>
        <w:widowControl w:val="0"/>
        <w:kinsoku/>
        <w:wordWrap/>
        <w:overflowPunct/>
        <w:topLinePunct w:val="0"/>
        <w:autoSpaceDE/>
        <w:autoSpaceDN/>
        <w:bidi w:val="0"/>
        <w:adjustRightInd w:val="0"/>
        <w:snapToGrid w:val="0"/>
        <w:spacing w:line="480" w:lineRule="exact"/>
        <w:ind w:firstLine="421" w:firstLineChars="200"/>
        <w:textAlignment w:val="auto"/>
        <w:rPr>
          <w:rFonts w:ascii="微软雅黑" w:hAnsi="微软雅黑" w:eastAsia="微软雅黑"/>
          <w:b/>
          <w:sz w:val="21"/>
          <w:szCs w:val="21"/>
        </w:rPr>
      </w:pPr>
      <w:r>
        <w:rPr>
          <w:rFonts w:hint="eastAsia" w:ascii="微软雅黑" w:hAnsi="微软雅黑" w:eastAsia="微软雅黑"/>
          <w:b/>
          <w:sz w:val="21"/>
          <w:szCs w:val="21"/>
        </w:rPr>
        <w:t>二</w:t>
      </w:r>
      <w:r>
        <w:rPr>
          <w:rFonts w:ascii="微软雅黑" w:hAnsi="微软雅黑" w:eastAsia="微软雅黑"/>
          <w:b/>
          <w:sz w:val="21"/>
          <w:szCs w:val="21"/>
        </w:rPr>
        <w:t>、</w:t>
      </w:r>
      <w:r>
        <w:rPr>
          <w:rFonts w:hint="eastAsia" w:ascii="微软雅黑" w:hAnsi="微软雅黑" w:eastAsia="微软雅黑"/>
          <w:b/>
          <w:sz w:val="21"/>
          <w:szCs w:val="21"/>
        </w:rPr>
        <w:t>项目主要内容及要求</w:t>
      </w:r>
      <w:bookmarkEnd w:id="40"/>
      <w:bookmarkEnd w:id="41"/>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bookmarkStart w:id="42" w:name="_Toc14387"/>
      <w:bookmarkStart w:id="43" w:name="_Toc24918"/>
      <w:r>
        <w:rPr>
          <w:rFonts w:hint="eastAsia" w:ascii="微软雅黑" w:hAnsi="微软雅黑" w:eastAsia="微软雅黑"/>
          <w:sz w:val="21"/>
          <w:szCs w:val="21"/>
          <w:lang w:eastAsia="zh-CN"/>
        </w:rPr>
        <w:t>（一）“投资重庆”微信视频号、“投资重庆”官方抖音号（以下简称“投资重庆”视频号）的视频创意服务。</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1</w:t>
      </w:r>
      <w:r>
        <w:rPr>
          <w:rFonts w:hint="eastAsia" w:ascii="微软雅黑" w:hAnsi="微软雅黑" w:eastAsia="微软雅黑"/>
          <w:sz w:val="21"/>
          <w:szCs w:val="21"/>
          <w:lang w:eastAsia="zh-CN"/>
        </w:rPr>
        <w:t xml:space="preserve">. </w:t>
      </w:r>
      <w:r>
        <w:rPr>
          <w:rFonts w:hint="eastAsia" w:ascii="微软雅黑" w:hAnsi="微软雅黑" w:eastAsia="微软雅黑"/>
          <w:sz w:val="21"/>
          <w:szCs w:val="21"/>
          <w:lang w:val="en-US" w:eastAsia="zh-CN"/>
        </w:rPr>
        <w:t>2023年“投资重庆”视频号将围绕重大平台、重点产业、重点方向、城市营商环境、人文历史等方面持续打造全市招商引资短视频符号。制作提供</w:t>
      </w:r>
      <w:r>
        <w:rPr>
          <w:rFonts w:hint="default" w:ascii="微软雅黑" w:hAnsi="微软雅黑" w:eastAsia="微软雅黑"/>
          <w:sz w:val="21"/>
          <w:szCs w:val="21"/>
          <w:lang w:val="en-US" w:eastAsia="zh-CN"/>
        </w:rPr>
        <w:t>40</w:t>
      </w:r>
      <w:r>
        <w:rPr>
          <w:rFonts w:hint="eastAsia" w:ascii="微软雅黑" w:hAnsi="微软雅黑" w:eastAsia="微软雅黑"/>
          <w:sz w:val="21"/>
          <w:szCs w:val="21"/>
          <w:lang w:eastAsia="zh-CN"/>
        </w:rPr>
        <w:t>条中英对照招商引资宣传短视频。</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2. 视频具体内容：</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（1）视频主要内容：包含短视频文案创意、视频素材拍摄及提供、素材剪辑、视频</w:t>
      </w:r>
      <w:r>
        <w:rPr>
          <w:rFonts w:hint="eastAsia" w:ascii="微软雅黑" w:hAnsi="微软雅黑" w:eastAsia="微软雅黑"/>
          <w:sz w:val="21"/>
          <w:szCs w:val="21"/>
          <w:lang w:eastAsia="zh-CN"/>
        </w:rPr>
        <w:t>包装、英文配音及字幕等服务内容（不含文案英文翻译）；</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lang w:eastAsia="zh-CN"/>
        </w:rPr>
        <w:t>视频时长</w:t>
      </w:r>
      <w:r>
        <w:rPr>
          <w:rFonts w:hint="eastAsia" w:ascii="微软雅黑" w:hAnsi="微软雅黑" w:eastAsia="微软雅黑"/>
          <w:sz w:val="21"/>
          <w:szCs w:val="21"/>
          <w:lang w:val="en-US" w:eastAsia="zh-CN"/>
        </w:rPr>
        <w:t>：微信视频号每条视频素材</w:t>
      </w:r>
      <w:r>
        <w:rPr>
          <w:rFonts w:hint="eastAsia" w:ascii="微软雅黑" w:hAnsi="微软雅黑" w:eastAsia="微软雅黑"/>
          <w:sz w:val="21"/>
          <w:szCs w:val="21"/>
          <w:lang w:eastAsia="zh-CN"/>
        </w:rPr>
        <w:t>时长不少于</w:t>
      </w:r>
      <w:r>
        <w:rPr>
          <w:rFonts w:hint="eastAsia" w:ascii="微软雅黑" w:hAnsi="微软雅黑" w:eastAsia="微软雅黑"/>
          <w:sz w:val="21"/>
          <w:szCs w:val="21"/>
          <w:lang w:val="en-US" w:eastAsia="zh-CN"/>
        </w:rPr>
        <w:t>6</w:t>
      </w:r>
      <w:r>
        <w:rPr>
          <w:rFonts w:hint="default" w:ascii="微软雅黑" w:hAnsi="微软雅黑" w:eastAsia="微软雅黑"/>
          <w:sz w:val="21"/>
          <w:szCs w:val="21"/>
          <w:lang w:eastAsia="zh-CN"/>
        </w:rPr>
        <w:t>0</w:t>
      </w:r>
      <w:r>
        <w:rPr>
          <w:rFonts w:hint="eastAsia" w:ascii="微软雅黑" w:hAnsi="微软雅黑" w:eastAsia="微软雅黑"/>
          <w:sz w:val="21"/>
          <w:szCs w:val="21"/>
          <w:lang w:eastAsia="zh-CN"/>
        </w:rPr>
        <w:t>秒，官方抖音号每条视频素材时长不少于</w:t>
      </w:r>
      <w:r>
        <w:rPr>
          <w:rFonts w:hint="default" w:ascii="微软雅黑" w:hAnsi="微软雅黑" w:eastAsia="微软雅黑"/>
          <w:sz w:val="21"/>
          <w:szCs w:val="21"/>
          <w:lang w:val="en-US" w:eastAsia="zh-CN"/>
        </w:rPr>
        <w:t>30</w:t>
      </w:r>
      <w:r>
        <w:rPr>
          <w:rFonts w:hint="eastAsia" w:ascii="微软雅黑" w:hAnsi="微软雅黑" w:eastAsia="微软雅黑"/>
          <w:sz w:val="21"/>
          <w:szCs w:val="21"/>
          <w:lang w:eastAsia="zh-CN"/>
        </w:rPr>
        <w:t>秒；</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视频格式：视频制作的内容符合对应微信及抖音平台的播放格式。</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3. 建立视频内容意识形态审核机制，严格意识形态把控。</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4. 建立视频版权意识，以及与之相关的责任边界等方面的审核把关。视频版权的来源主要</w:t>
      </w:r>
      <w:r>
        <w:rPr>
          <w:rFonts w:hint="eastAsia" w:ascii="微软雅黑" w:hAnsi="微软雅黑" w:eastAsia="微软雅黑"/>
          <w:sz w:val="21"/>
          <w:szCs w:val="21"/>
          <w:lang w:eastAsia="zh-CN"/>
        </w:rPr>
        <w:t>由以下方式构成：</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default" w:ascii="微软雅黑" w:hAnsi="微软雅黑" w:eastAsia="微软雅黑"/>
          <w:sz w:val="21"/>
          <w:szCs w:val="21"/>
          <w:lang w:eastAsia="zh-CN"/>
        </w:rPr>
        <w:t>（1）</w:t>
      </w:r>
      <w:r>
        <w:rPr>
          <w:rFonts w:hint="eastAsia" w:ascii="微软雅黑" w:hAnsi="微软雅黑" w:eastAsia="微软雅黑"/>
          <w:sz w:val="21"/>
          <w:szCs w:val="21"/>
          <w:lang w:eastAsia="zh-CN"/>
        </w:rPr>
        <w:t>自行提供的版权视频及素材的重新编辑；</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default" w:ascii="微软雅黑" w:hAnsi="微软雅黑" w:eastAsia="微软雅黑"/>
          <w:sz w:val="21"/>
          <w:szCs w:val="21"/>
          <w:lang w:eastAsia="zh-CN"/>
        </w:rPr>
        <w:t>（2）</w:t>
      </w:r>
      <w:r>
        <w:rPr>
          <w:rFonts w:hint="eastAsia" w:ascii="微软雅黑" w:hAnsi="微软雅黑" w:eastAsia="微软雅黑"/>
          <w:sz w:val="21"/>
          <w:szCs w:val="21"/>
          <w:lang w:eastAsia="zh-CN"/>
        </w:rPr>
        <w:t>由市招商投资中心协调或购买而取得授权的其他机构（个人）版权视频及素材的重新编辑；</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）由市招商投资中心指定视频素材拍摄的重新编辑。</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（二）“投资重庆”视频号的视频发布、浏览数据动态关注等相关运营服务。</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1</w:t>
      </w:r>
      <w:r>
        <w:rPr>
          <w:rFonts w:hint="eastAsia" w:ascii="微软雅黑" w:hAnsi="微软雅黑" w:eastAsia="微软雅黑"/>
          <w:sz w:val="21"/>
          <w:szCs w:val="21"/>
          <w:lang w:eastAsia="zh-CN"/>
        </w:rPr>
        <w:t>. 微信视频号、官方抖音号的发布策略制定；</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2. 微信视频号、官方抖音号的发布管理，持续编辑视频，并完善</w:t>
      </w:r>
      <w:r>
        <w:rPr>
          <w:rFonts w:hint="eastAsia" w:ascii="微软雅黑" w:hAnsi="微软雅黑" w:eastAsia="微软雅黑"/>
          <w:sz w:val="21"/>
          <w:szCs w:val="21"/>
          <w:lang w:val="en-US" w:eastAsia="zh-CN"/>
        </w:rPr>
        <w:t>视频浏览量等动态数据管理</w:t>
      </w:r>
      <w:r>
        <w:rPr>
          <w:rFonts w:hint="eastAsia" w:ascii="微软雅黑" w:hAnsi="微软雅黑" w:eastAsia="微软雅黑"/>
          <w:sz w:val="21"/>
          <w:szCs w:val="21"/>
          <w:lang w:eastAsia="zh-CN"/>
        </w:rPr>
        <w:t>；</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3. 定期调整升级更新微信视频号、官方抖音号版面及展示模块。</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（三）协助运营管理团队要求</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 有专业团队对微信视频号、官方抖音号进行运营管理，专业团队参与市招商投资局重大活动节点的选题传策划会，提出专业意见与创意思路。</w:t>
      </w:r>
    </w:p>
    <w:p>
      <w:pPr>
        <w:pStyle w:val="5"/>
        <w:keepNext/>
        <w:keepLines/>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xml:space="preserve">2. </w:t>
      </w:r>
      <w:r>
        <w:rPr>
          <w:rFonts w:hint="eastAsia" w:ascii="微软雅黑" w:hAnsi="微软雅黑" w:eastAsia="微软雅黑"/>
          <w:sz w:val="21"/>
          <w:szCs w:val="21"/>
          <w:lang w:val="en-US" w:eastAsia="zh-CN"/>
        </w:rPr>
        <w:t>派驻</w:t>
      </w:r>
      <w:r>
        <w:rPr>
          <w:rFonts w:hint="default" w:ascii="微软雅黑" w:hAnsi="微软雅黑" w:eastAsia="微软雅黑"/>
          <w:sz w:val="21"/>
          <w:szCs w:val="21"/>
          <w:lang w:val="en-US" w:eastAsia="zh-CN"/>
        </w:rPr>
        <w:t>1</w:t>
      </w:r>
      <w:r>
        <w:rPr>
          <w:rFonts w:hint="eastAsia" w:ascii="微软雅黑" w:hAnsi="微软雅黑" w:eastAsia="微软雅黑"/>
          <w:sz w:val="21"/>
          <w:szCs w:val="21"/>
          <w:lang w:val="en-US" w:eastAsia="zh-CN"/>
        </w:rPr>
        <w:t>名专职人员到指定地点进行视频素材的收集、配合视频剪辑、发布等相关工作，并定期对派驻人员进行业务能力培训，提高基础素养及专业水平。</w:t>
      </w:r>
    </w:p>
    <w:p>
      <w:pPr>
        <w:pStyle w:val="5"/>
        <w:pageBreakBefore w:val="0"/>
        <w:widowControl w:val="0"/>
        <w:kinsoku/>
        <w:wordWrap/>
        <w:overflowPunct/>
        <w:topLinePunct w:val="0"/>
        <w:autoSpaceDE/>
        <w:autoSpaceDN/>
        <w:bidi w:val="0"/>
        <w:spacing w:line="480" w:lineRule="exact"/>
        <w:ind w:firstLine="421" w:firstLineChars="200"/>
        <w:textAlignment w:val="auto"/>
        <w:rPr>
          <w:rFonts w:hint="eastAsia" w:ascii="微软雅黑" w:hAnsi="微软雅黑" w:eastAsia="微软雅黑"/>
          <w:b/>
          <w:sz w:val="21"/>
          <w:szCs w:val="21"/>
          <w:lang w:eastAsia="zh-CN"/>
        </w:rPr>
      </w:pPr>
      <w:r>
        <w:rPr>
          <w:rFonts w:hint="eastAsia" w:ascii="微软雅黑" w:hAnsi="微软雅黑" w:eastAsia="微软雅黑"/>
          <w:b/>
          <w:sz w:val="21"/>
          <w:szCs w:val="21"/>
          <w:lang w:eastAsia="zh-CN"/>
        </w:rPr>
        <w:t>三、服务期限</w:t>
      </w:r>
      <w:bookmarkEnd w:id="42"/>
      <w:bookmarkEnd w:id="43"/>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firstLine="420" w:firstLineChars="200"/>
        <w:jc w:val="both"/>
        <w:textAlignment w:val="auto"/>
        <w:rPr>
          <w:rFonts w:hint="eastAsia" w:ascii="微软雅黑" w:hAnsi="微软雅黑" w:eastAsia="微软雅黑"/>
          <w:sz w:val="21"/>
          <w:szCs w:val="21"/>
          <w:lang w:eastAsia="zh-CN"/>
        </w:rPr>
      </w:pPr>
      <w:bookmarkStart w:id="44" w:name="_Toc10860"/>
      <w:bookmarkStart w:id="45" w:name="_Toc4428"/>
      <w:r>
        <w:rPr>
          <w:rFonts w:hint="eastAsia" w:ascii="微软雅黑" w:hAnsi="微软雅黑" w:eastAsia="微软雅黑"/>
          <w:sz w:val="21"/>
          <w:szCs w:val="21"/>
          <w:lang w:eastAsia="zh-CN"/>
        </w:rPr>
        <w:t>自合同签订之日起生效，原则上服务期限为1年。合同一年一签，中标供应商服务期满或者服务内容结束后，如供应商提供服务通过采购商考核验收，则供应商可直接与采购商完成下一年度合作协议签订工作，原则上合同续签不超过三年。</w:t>
      </w:r>
    </w:p>
    <w:p>
      <w:pPr>
        <w:pStyle w:val="5"/>
        <w:pageBreakBefore w:val="0"/>
        <w:widowControl w:val="0"/>
        <w:kinsoku/>
        <w:wordWrap/>
        <w:overflowPunct/>
        <w:topLinePunct w:val="0"/>
        <w:autoSpaceDE/>
        <w:autoSpaceDN/>
        <w:bidi w:val="0"/>
        <w:spacing w:line="480" w:lineRule="exact"/>
        <w:ind w:firstLine="421" w:firstLineChars="200"/>
        <w:textAlignment w:val="auto"/>
        <w:rPr>
          <w:rFonts w:ascii="微软雅黑" w:hAnsi="微软雅黑" w:eastAsia="微软雅黑"/>
          <w:b/>
          <w:sz w:val="21"/>
          <w:szCs w:val="21"/>
        </w:rPr>
      </w:pPr>
      <w:r>
        <w:rPr>
          <w:rFonts w:hint="eastAsia" w:ascii="微软雅黑" w:hAnsi="微软雅黑" w:eastAsia="微软雅黑"/>
          <w:b/>
          <w:sz w:val="21"/>
          <w:szCs w:val="21"/>
        </w:rPr>
        <w:t>四</w:t>
      </w:r>
      <w:r>
        <w:rPr>
          <w:rFonts w:ascii="微软雅黑" w:hAnsi="微软雅黑" w:eastAsia="微软雅黑"/>
          <w:b/>
          <w:sz w:val="21"/>
          <w:szCs w:val="21"/>
        </w:rPr>
        <w:t>、采购方式</w:t>
      </w:r>
      <w:bookmarkEnd w:id="44"/>
      <w:bookmarkEnd w:id="45"/>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采取综合评标法进行</w:t>
      </w:r>
      <w:r>
        <w:rPr>
          <w:rFonts w:hint="eastAsia" w:ascii="微软雅黑" w:hAnsi="微软雅黑" w:eastAsia="微软雅黑"/>
          <w:sz w:val="21"/>
          <w:szCs w:val="21"/>
        </w:rPr>
        <w:t>比选</w:t>
      </w:r>
      <w:r>
        <w:rPr>
          <w:rFonts w:ascii="微软雅黑" w:hAnsi="微软雅黑" w:eastAsia="微软雅黑"/>
          <w:sz w:val="21"/>
          <w:szCs w:val="21"/>
        </w:rPr>
        <w:t>，由重庆市招商投资促进局依法依规自行组织采购。</w:t>
      </w:r>
    </w:p>
    <w:p>
      <w:pPr>
        <w:pStyle w:val="5"/>
        <w:pageBreakBefore w:val="0"/>
        <w:widowControl w:val="0"/>
        <w:kinsoku/>
        <w:wordWrap/>
        <w:overflowPunct/>
        <w:topLinePunct w:val="0"/>
        <w:autoSpaceDE/>
        <w:autoSpaceDN/>
        <w:bidi w:val="0"/>
        <w:spacing w:line="480" w:lineRule="exact"/>
        <w:ind w:firstLine="421" w:firstLineChars="200"/>
        <w:textAlignment w:val="auto"/>
        <w:rPr>
          <w:rFonts w:ascii="微软雅黑" w:hAnsi="微软雅黑" w:eastAsia="微软雅黑"/>
          <w:b/>
          <w:sz w:val="21"/>
          <w:szCs w:val="21"/>
        </w:rPr>
      </w:pPr>
      <w:bookmarkStart w:id="46" w:name="_Toc27107"/>
      <w:bookmarkStart w:id="47" w:name="_Toc6293"/>
      <w:r>
        <w:rPr>
          <w:rFonts w:hint="eastAsia" w:ascii="微软雅黑" w:hAnsi="微软雅黑" w:eastAsia="微软雅黑"/>
          <w:b/>
          <w:sz w:val="21"/>
          <w:szCs w:val="21"/>
        </w:rPr>
        <w:t>五</w:t>
      </w:r>
      <w:r>
        <w:rPr>
          <w:rFonts w:ascii="微软雅黑" w:hAnsi="微软雅黑" w:eastAsia="微软雅黑"/>
          <w:b/>
          <w:sz w:val="21"/>
          <w:szCs w:val="21"/>
        </w:rPr>
        <w:t>、违约责任</w:t>
      </w:r>
      <w:bookmarkEnd w:id="46"/>
      <w:bookmarkEnd w:id="47"/>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（一）中选供应商不得将服务资格转让其他机构。</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（二）中选供应商拒绝承接采购人安排的服务项目或服务后验收不合格的，采购人有权单方解除合同。</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三</w:t>
      </w:r>
      <w:r>
        <w:rPr>
          <w:rFonts w:ascii="微软雅黑" w:hAnsi="微软雅黑" w:eastAsia="微软雅黑"/>
          <w:sz w:val="21"/>
          <w:szCs w:val="21"/>
        </w:rPr>
        <w:t>）中选供应商必须严格执行国家采购法律法规，自觉接受采购人的业务指导和监督管理，全力维护采购人的合法权益。如国家相关法律法规发生变化，则按新的法律法规执行。</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四</w:t>
      </w:r>
      <w:r>
        <w:rPr>
          <w:rFonts w:ascii="微软雅黑" w:hAnsi="微软雅黑" w:eastAsia="微软雅黑"/>
          <w:sz w:val="21"/>
          <w:szCs w:val="21"/>
        </w:rPr>
        <w:t>）供应商向采购人移交的所有有关遴选</w:t>
      </w:r>
      <w:r>
        <w:rPr>
          <w:rFonts w:hint="eastAsia" w:ascii="微软雅黑" w:hAnsi="微软雅黑" w:eastAsia="微软雅黑"/>
          <w:sz w:val="21"/>
          <w:szCs w:val="21"/>
        </w:rPr>
        <w:t>评比</w:t>
      </w:r>
      <w:r>
        <w:rPr>
          <w:rFonts w:ascii="微软雅黑" w:hAnsi="微软雅黑" w:eastAsia="微软雅黑"/>
          <w:sz w:val="21"/>
          <w:szCs w:val="21"/>
        </w:rPr>
        <w:t>的资料，均须通过书面形式移交，采购人收悉后，将按审核意见予以回函。</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五</w:t>
      </w:r>
      <w:r>
        <w:rPr>
          <w:rFonts w:ascii="微软雅黑" w:hAnsi="微软雅黑" w:eastAsia="微软雅黑"/>
          <w:sz w:val="21"/>
          <w:szCs w:val="21"/>
        </w:rPr>
        <w:t>）供应商必须对采购人单位信息进行保密，在未经采购人事先书面同意的情况下，任何时候均不得将遴选</w:t>
      </w:r>
      <w:r>
        <w:rPr>
          <w:rFonts w:hint="eastAsia" w:ascii="微软雅黑" w:hAnsi="微软雅黑" w:eastAsia="微软雅黑"/>
          <w:sz w:val="21"/>
          <w:szCs w:val="21"/>
        </w:rPr>
        <w:t>评比</w:t>
      </w:r>
      <w:r>
        <w:rPr>
          <w:rFonts w:ascii="微软雅黑" w:hAnsi="微软雅黑" w:eastAsia="微软雅黑"/>
          <w:sz w:val="21"/>
          <w:szCs w:val="21"/>
        </w:rPr>
        <w:t>信息的任何内容或者从采购人处知晓的关于采购人单位的任何信息泄露给任何其它方。</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六</w:t>
      </w:r>
      <w:r>
        <w:rPr>
          <w:rFonts w:ascii="微软雅黑" w:hAnsi="微软雅黑" w:eastAsia="微软雅黑"/>
          <w:sz w:val="21"/>
          <w:szCs w:val="21"/>
        </w:rPr>
        <w:t>）其他未尽事宜由供需双方在采购合同中详细约定。</w:t>
      </w:r>
    </w:p>
    <w:p>
      <w:bookmarkStart w:id="48" w:name="_Toc18730"/>
      <w:bookmarkStart w:id="49" w:name="_Toc13048"/>
      <w:bookmarkStart w:id="50" w:name="_Toc21628"/>
      <w:bookmarkStart w:id="51" w:name="_Toc16770"/>
      <w:bookmarkStart w:id="52" w:name="_Toc20923"/>
      <w:bookmarkStart w:id="53" w:name="_Toc7130"/>
      <w:bookmarkStart w:id="54" w:name="_Toc1612"/>
      <w:bookmarkStart w:id="55" w:name="_Toc10994"/>
    </w:p>
    <w:p>
      <w:pPr>
        <w:pStyle w:val="5"/>
        <w:adjustRightInd/>
        <w:snapToGrid/>
        <w:spacing w:before="260" w:after="260"/>
        <w:jc w:val="center"/>
        <w:rPr>
          <w:b/>
          <w:bCs/>
          <w:sz w:val="36"/>
          <w:szCs w:val="36"/>
        </w:rPr>
      </w:pPr>
      <w:r>
        <w:rPr>
          <w:szCs w:val="28"/>
        </w:rPr>
        <w:br w:type="page"/>
      </w:r>
      <w:bookmarkStart w:id="56" w:name="_Toc11493"/>
      <w:bookmarkStart w:id="57" w:name="_Toc19340"/>
      <w:r>
        <w:rPr>
          <w:rFonts w:ascii="微软雅黑" w:hAnsi="微软雅黑" w:eastAsia="微软雅黑"/>
          <w:b/>
          <w:sz w:val="36"/>
          <w:szCs w:val="36"/>
        </w:rPr>
        <w:t>第三</w:t>
      </w:r>
      <w:r>
        <w:rPr>
          <w:rFonts w:hint="eastAsia" w:ascii="微软雅黑" w:hAnsi="微软雅黑" w:eastAsia="微软雅黑"/>
          <w:b/>
          <w:sz w:val="36"/>
          <w:szCs w:val="36"/>
        </w:rPr>
        <w:t>篇</w:t>
      </w:r>
      <w:r>
        <w:rPr>
          <w:rFonts w:ascii="微软雅黑" w:hAnsi="微软雅黑" w:eastAsia="微软雅黑"/>
          <w:b/>
          <w:sz w:val="36"/>
          <w:szCs w:val="36"/>
        </w:rPr>
        <w:t xml:space="preserve"> </w:t>
      </w:r>
      <w:bookmarkEnd w:id="48"/>
      <w:bookmarkEnd w:id="49"/>
      <w:bookmarkEnd w:id="50"/>
      <w:bookmarkEnd w:id="51"/>
      <w:r>
        <w:rPr>
          <w:rFonts w:hint="eastAsia" w:ascii="微软雅黑" w:hAnsi="微软雅黑" w:eastAsia="微软雅黑"/>
          <w:b/>
          <w:sz w:val="36"/>
          <w:szCs w:val="36"/>
        </w:rPr>
        <w:t>评比</w:t>
      </w:r>
      <w:r>
        <w:rPr>
          <w:rFonts w:ascii="微软雅黑" w:hAnsi="微软雅黑" w:eastAsia="微软雅黑"/>
          <w:b/>
          <w:sz w:val="36"/>
          <w:szCs w:val="36"/>
        </w:rPr>
        <w:t>程序及</w:t>
      </w:r>
      <w:bookmarkEnd w:id="56"/>
      <w:bookmarkStart w:id="58" w:name="_Toc21566"/>
      <w:r>
        <w:rPr>
          <w:rFonts w:ascii="微软雅黑" w:hAnsi="微软雅黑" w:eastAsia="微软雅黑"/>
          <w:b/>
          <w:sz w:val="36"/>
          <w:szCs w:val="36"/>
        </w:rPr>
        <w:t>评审标准</w:t>
      </w:r>
      <w:bookmarkEnd w:id="57"/>
      <w:bookmarkEnd w:id="58"/>
    </w:p>
    <w:p>
      <w:pPr>
        <w:pStyle w:val="5"/>
        <w:pageBreakBefore w:val="0"/>
        <w:widowControl w:val="0"/>
        <w:kinsoku/>
        <w:wordWrap/>
        <w:overflowPunct/>
        <w:topLinePunct w:val="0"/>
        <w:autoSpaceDE/>
        <w:autoSpaceDN/>
        <w:bidi w:val="0"/>
        <w:spacing w:line="480" w:lineRule="exact"/>
        <w:ind w:firstLine="481" w:firstLineChars="200"/>
        <w:textAlignment w:val="auto"/>
        <w:rPr>
          <w:b/>
          <w:sz w:val="24"/>
          <w:szCs w:val="24"/>
        </w:rPr>
      </w:pPr>
      <w:bookmarkStart w:id="59" w:name="_Toc18696"/>
      <w:bookmarkStart w:id="60" w:name="_Toc27974"/>
      <w:bookmarkStart w:id="61" w:name="_Toc532648434"/>
      <w:r>
        <w:rPr>
          <w:rFonts w:ascii="微软雅黑" w:hAnsi="微软雅黑" w:eastAsia="微软雅黑"/>
          <w:b/>
          <w:sz w:val="24"/>
          <w:szCs w:val="24"/>
        </w:rPr>
        <w:t>一、</w:t>
      </w:r>
      <w:r>
        <w:rPr>
          <w:rFonts w:hint="eastAsia" w:ascii="微软雅黑" w:hAnsi="微软雅黑" w:eastAsia="微软雅黑"/>
          <w:b/>
          <w:sz w:val="24"/>
          <w:szCs w:val="24"/>
        </w:rPr>
        <w:t>评比</w:t>
      </w:r>
      <w:r>
        <w:rPr>
          <w:rFonts w:ascii="微软雅黑" w:hAnsi="微软雅黑" w:eastAsia="微软雅黑"/>
          <w:b/>
          <w:sz w:val="24"/>
          <w:szCs w:val="24"/>
        </w:rPr>
        <w:t>程序及方法</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（一）按</w:t>
      </w:r>
      <w:r>
        <w:rPr>
          <w:rFonts w:hint="eastAsia" w:ascii="微软雅黑" w:hAnsi="微软雅黑" w:eastAsia="微软雅黑"/>
          <w:szCs w:val="21"/>
        </w:rPr>
        <w:t>评比</w:t>
      </w:r>
      <w:r>
        <w:rPr>
          <w:rFonts w:ascii="微软雅黑" w:hAnsi="微软雅黑" w:eastAsia="微软雅黑"/>
          <w:szCs w:val="21"/>
        </w:rPr>
        <w:t>文件规定的时间和地点进行。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（二）</w:t>
      </w:r>
      <w:r>
        <w:rPr>
          <w:rFonts w:hint="eastAsia" w:ascii="微软雅黑" w:hAnsi="微软雅黑" w:eastAsia="微软雅黑"/>
          <w:szCs w:val="21"/>
        </w:rPr>
        <w:t>评比</w:t>
      </w:r>
      <w:r>
        <w:rPr>
          <w:rFonts w:ascii="微软雅黑" w:hAnsi="微软雅黑" w:eastAsia="微软雅黑"/>
          <w:szCs w:val="21"/>
        </w:rPr>
        <w:t>小组对各供应商的资格条件、响应文件的有效性、完整性和响应程度进行审查。各供应商只有在完全符合要求的前提下，才能参与正式</w:t>
      </w:r>
      <w:r>
        <w:rPr>
          <w:rFonts w:hint="eastAsia" w:ascii="微软雅黑" w:hAnsi="微软雅黑" w:eastAsia="微软雅黑"/>
          <w:szCs w:val="21"/>
        </w:rPr>
        <w:t>评比</w:t>
      </w:r>
      <w:r>
        <w:rPr>
          <w:rFonts w:ascii="微软雅黑" w:hAnsi="微软雅黑" w:eastAsia="微软雅黑"/>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1. 资格性检查。依据</w:t>
      </w:r>
      <w:r>
        <w:rPr>
          <w:rFonts w:hint="eastAsia" w:ascii="微软雅黑" w:hAnsi="微软雅黑" w:eastAsia="微软雅黑"/>
          <w:szCs w:val="21"/>
        </w:rPr>
        <w:t>评比</w:t>
      </w:r>
      <w:r>
        <w:rPr>
          <w:rFonts w:ascii="微软雅黑" w:hAnsi="微软雅黑" w:eastAsia="微软雅黑"/>
          <w:szCs w:val="21"/>
        </w:rPr>
        <w:t>文件的规定，对响应文件中的资格证明等进行审查，以确定供应商是否具备</w:t>
      </w:r>
      <w:r>
        <w:rPr>
          <w:rFonts w:hint="eastAsia" w:ascii="微软雅黑" w:hAnsi="微软雅黑" w:eastAsia="微软雅黑"/>
          <w:szCs w:val="21"/>
        </w:rPr>
        <w:t>评比</w:t>
      </w:r>
      <w:r>
        <w:rPr>
          <w:rFonts w:ascii="微软雅黑" w:hAnsi="微软雅黑" w:eastAsia="微软雅黑"/>
          <w:szCs w:val="21"/>
        </w:rPr>
        <w:t>资格。资格性检查资料表如下：</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66"/>
        <w:gridCol w:w="429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7" w:type="dxa"/>
            <w:vAlign w:val="center"/>
          </w:tcPr>
          <w:p>
            <w:pPr>
              <w:spacing w:line="240" w:lineRule="exact"/>
              <w:jc w:val="center"/>
              <w:rPr>
                <w:b/>
                <w:kern w:val="0"/>
                <w:sz w:val="22"/>
                <w:szCs w:val="22"/>
              </w:rPr>
            </w:pPr>
            <w:r>
              <w:rPr>
                <w:b/>
                <w:kern w:val="0"/>
                <w:sz w:val="22"/>
                <w:szCs w:val="22"/>
              </w:rPr>
              <w:t>序号</w:t>
            </w:r>
          </w:p>
        </w:tc>
        <w:tc>
          <w:tcPr>
            <w:tcW w:w="5156" w:type="dxa"/>
            <w:gridSpan w:val="2"/>
            <w:vAlign w:val="center"/>
          </w:tcPr>
          <w:p>
            <w:pPr>
              <w:spacing w:line="240" w:lineRule="exact"/>
              <w:ind w:firstLine="1987" w:firstLineChars="900"/>
              <w:jc w:val="both"/>
              <w:rPr>
                <w:b/>
                <w:kern w:val="0"/>
                <w:sz w:val="22"/>
                <w:szCs w:val="22"/>
              </w:rPr>
            </w:pPr>
            <w:r>
              <w:rPr>
                <w:b/>
                <w:kern w:val="0"/>
                <w:sz w:val="22"/>
                <w:szCs w:val="22"/>
              </w:rPr>
              <w:t>检查因素</w:t>
            </w:r>
          </w:p>
        </w:tc>
        <w:tc>
          <w:tcPr>
            <w:tcW w:w="3024" w:type="dxa"/>
            <w:vAlign w:val="center"/>
          </w:tcPr>
          <w:p>
            <w:pPr>
              <w:spacing w:line="240" w:lineRule="exact"/>
              <w:jc w:val="center"/>
              <w:rPr>
                <w:b/>
                <w:kern w:val="0"/>
                <w:sz w:val="22"/>
                <w:szCs w:val="22"/>
              </w:rPr>
            </w:pPr>
            <w:r>
              <w:rPr>
                <w:b/>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17" w:type="dxa"/>
            <w:vMerge w:val="restart"/>
            <w:vAlign w:val="center"/>
          </w:tcPr>
          <w:p>
            <w:pPr>
              <w:spacing w:line="240" w:lineRule="exact"/>
              <w:jc w:val="center"/>
              <w:rPr>
                <w:b/>
                <w:kern w:val="0"/>
                <w:sz w:val="22"/>
                <w:szCs w:val="22"/>
              </w:rPr>
            </w:pPr>
            <w:r>
              <w:rPr>
                <w:b w:val="0"/>
                <w:bCs/>
                <w:kern w:val="0"/>
                <w:sz w:val="22"/>
                <w:szCs w:val="22"/>
              </w:rPr>
              <w:t>1</w:t>
            </w:r>
          </w:p>
        </w:tc>
        <w:tc>
          <w:tcPr>
            <w:tcW w:w="866" w:type="dxa"/>
            <w:vMerge w:val="restart"/>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供应商应符合的基本资格条件</w:t>
            </w:r>
          </w:p>
        </w:tc>
        <w:tc>
          <w:tcPr>
            <w:tcW w:w="4290"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（1）具有独立承担民事责任的能力</w:t>
            </w:r>
          </w:p>
        </w:tc>
        <w:tc>
          <w:tcPr>
            <w:tcW w:w="3024"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1．法人营业执照副本</w:t>
            </w:r>
          </w:p>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2．法定代表人身份证明或法定代表人授权代表委托书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17" w:type="dxa"/>
            <w:vMerge w:val="continue"/>
            <w:vAlign w:val="center"/>
          </w:tcPr>
          <w:p>
            <w:pPr>
              <w:spacing w:line="240" w:lineRule="exact"/>
              <w:jc w:val="center"/>
              <w:rPr>
                <w:b/>
                <w:kern w:val="0"/>
                <w:sz w:val="22"/>
                <w:szCs w:val="22"/>
              </w:rPr>
            </w:pPr>
          </w:p>
        </w:tc>
        <w:tc>
          <w:tcPr>
            <w:tcW w:w="86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4290"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（2）具有良好的商业信誉和健全的财务会计制度</w:t>
            </w:r>
          </w:p>
        </w:tc>
        <w:tc>
          <w:tcPr>
            <w:tcW w:w="3024" w:type="dxa"/>
            <w:vMerge w:val="restart"/>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7" w:type="dxa"/>
            <w:vMerge w:val="continue"/>
            <w:vAlign w:val="center"/>
          </w:tcPr>
          <w:p>
            <w:pPr>
              <w:spacing w:line="240" w:lineRule="exact"/>
              <w:jc w:val="center"/>
              <w:rPr>
                <w:b/>
                <w:kern w:val="0"/>
                <w:sz w:val="22"/>
                <w:szCs w:val="22"/>
              </w:rPr>
            </w:pPr>
          </w:p>
        </w:tc>
        <w:tc>
          <w:tcPr>
            <w:tcW w:w="86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4290" w:type="dxa"/>
            <w:vAlign w:val="center"/>
          </w:tcPr>
          <w:p>
            <w:pPr>
              <w:spacing w:line="240" w:lineRule="atLeast"/>
              <w:rPr>
                <w:rFonts w:hint="eastAsia" w:ascii="宋体" w:hAnsi="宋体" w:eastAsia="宋体"/>
                <w:color w:val="000000" w:themeColor="text1"/>
                <w:sz w:val="22"/>
                <w:szCs w:val="22"/>
                <w:lang w:val="en" w:eastAsia="zh-CN"/>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（3）具有履</w:t>
            </w:r>
            <w:r>
              <w:rPr>
                <w:rFonts w:hint="eastAsia" w:ascii="宋体" w:hAnsi="宋体" w:eastAsia="宋体"/>
                <w:color w:val="auto"/>
                <w:sz w:val="22"/>
                <w:szCs w:val="22"/>
              </w:rPr>
              <w:t>行合同所必需的</w:t>
            </w:r>
            <w:r>
              <w:rPr>
                <w:rFonts w:hint="eastAsia" w:ascii="宋体" w:hAnsi="宋体"/>
                <w:color w:val="auto"/>
                <w:sz w:val="22"/>
                <w:szCs w:val="22"/>
                <w:lang w:eastAsia="zh-CN"/>
              </w:rPr>
              <w:t>执行团队和服务能力</w:t>
            </w:r>
          </w:p>
        </w:tc>
        <w:tc>
          <w:tcPr>
            <w:tcW w:w="3024"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17" w:type="dxa"/>
            <w:vMerge w:val="continue"/>
            <w:vAlign w:val="center"/>
          </w:tcPr>
          <w:p>
            <w:pPr>
              <w:spacing w:line="240" w:lineRule="exact"/>
              <w:jc w:val="center"/>
              <w:rPr>
                <w:b/>
                <w:kern w:val="0"/>
                <w:sz w:val="22"/>
                <w:szCs w:val="22"/>
              </w:rPr>
            </w:pPr>
          </w:p>
        </w:tc>
        <w:tc>
          <w:tcPr>
            <w:tcW w:w="86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4290"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（4）有依法缴纳税收的良好记录</w:t>
            </w:r>
          </w:p>
        </w:tc>
        <w:tc>
          <w:tcPr>
            <w:tcW w:w="3024"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17" w:type="dxa"/>
            <w:vMerge w:val="continue"/>
            <w:vAlign w:val="center"/>
          </w:tcPr>
          <w:p>
            <w:pPr>
              <w:spacing w:line="240" w:lineRule="exact"/>
              <w:jc w:val="center"/>
              <w:rPr>
                <w:b/>
                <w:kern w:val="0"/>
                <w:sz w:val="22"/>
                <w:szCs w:val="22"/>
              </w:rPr>
            </w:pPr>
          </w:p>
        </w:tc>
        <w:tc>
          <w:tcPr>
            <w:tcW w:w="86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4290"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（5）参加政府采购活动前三年内，在经营活动中没有重大违法记录</w:t>
            </w:r>
          </w:p>
        </w:tc>
        <w:tc>
          <w:tcPr>
            <w:tcW w:w="3024"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17" w:type="dxa"/>
            <w:vMerge w:val="continue"/>
            <w:vAlign w:val="center"/>
          </w:tcPr>
          <w:p>
            <w:pPr>
              <w:spacing w:line="240" w:lineRule="exact"/>
              <w:jc w:val="center"/>
              <w:rPr>
                <w:b/>
                <w:kern w:val="0"/>
                <w:sz w:val="22"/>
                <w:szCs w:val="22"/>
              </w:rPr>
            </w:pPr>
          </w:p>
        </w:tc>
        <w:tc>
          <w:tcPr>
            <w:tcW w:w="86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4290"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（6）法律、行政法规规定的其他条件</w:t>
            </w:r>
          </w:p>
        </w:tc>
        <w:tc>
          <w:tcPr>
            <w:tcW w:w="3024"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717" w:type="dxa"/>
            <w:vAlign w:val="center"/>
          </w:tcPr>
          <w:p>
            <w:pPr>
              <w:spacing w:line="240" w:lineRule="exact"/>
              <w:jc w:val="center"/>
              <w:rPr>
                <w:b/>
                <w:kern w:val="0"/>
                <w:sz w:val="22"/>
                <w:szCs w:val="22"/>
              </w:rPr>
            </w:pPr>
            <w:r>
              <w:rPr>
                <w:b w:val="0"/>
                <w:bCs/>
                <w:kern w:val="0"/>
                <w:sz w:val="22"/>
                <w:szCs w:val="22"/>
              </w:rPr>
              <w:t>2</w:t>
            </w:r>
          </w:p>
        </w:tc>
        <w:tc>
          <w:tcPr>
            <w:tcW w:w="5156" w:type="dxa"/>
            <w:gridSpan w:val="2"/>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特定资格条件（如果有）</w:t>
            </w:r>
          </w:p>
        </w:tc>
        <w:tc>
          <w:tcPr>
            <w:tcW w:w="3024"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供应商营业执照经营范围须涵盖摄影摄像服务或其他与视频拍摄服务等相关业务（提供营业执照副本并加盖公章）</w:t>
            </w: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注：供应商应对所提供的全部资料的真实性负责，如提供虚假材料，一经查实，将取消</w:t>
      </w:r>
      <w:r>
        <w:rPr>
          <w:rFonts w:hint="eastAsia" w:ascii="微软雅黑" w:hAnsi="微软雅黑" w:eastAsia="微软雅黑"/>
          <w:szCs w:val="21"/>
        </w:rPr>
        <w:t>评比</w:t>
      </w:r>
      <w:r>
        <w:rPr>
          <w:rFonts w:ascii="微软雅黑" w:hAnsi="微软雅黑" w:eastAsia="微软雅黑"/>
          <w:szCs w:val="21"/>
        </w:rPr>
        <w:t>资格或中标资格，并按照《政府采购法》及相关法律法规的规定进行处理。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20" w:firstLineChars="200"/>
        <w:textAlignment w:val="auto"/>
      </w:pPr>
      <w:r>
        <w:rPr>
          <w:rFonts w:ascii="微软雅黑" w:hAnsi="微软雅黑" w:eastAsia="微软雅黑"/>
          <w:szCs w:val="21"/>
        </w:rPr>
        <w:t>符合性检查。依据</w:t>
      </w:r>
      <w:r>
        <w:rPr>
          <w:rFonts w:hint="eastAsia" w:ascii="微软雅黑" w:hAnsi="微软雅黑" w:eastAsia="微软雅黑"/>
          <w:szCs w:val="21"/>
        </w:rPr>
        <w:t>评比</w:t>
      </w:r>
      <w:r>
        <w:rPr>
          <w:rFonts w:ascii="微软雅黑" w:hAnsi="微软雅黑" w:eastAsia="微软雅黑"/>
          <w:szCs w:val="21"/>
        </w:rPr>
        <w:t>文件的规定，从响应文件的有效性、完整性和对</w:t>
      </w:r>
      <w:r>
        <w:rPr>
          <w:rFonts w:hint="eastAsia" w:ascii="微软雅黑" w:hAnsi="微软雅黑" w:eastAsia="微软雅黑"/>
          <w:szCs w:val="21"/>
        </w:rPr>
        <w:t>评比</w:t>
      </w:r>
      <w:r>
        <w:rPr>
          <w:rFonts w:ascii="微软雅黑" w:hAnsi="微软雅黑" w:eastAsia="微软雅黑"/>
          <w:szCs w:val="21"/>
        </w:rPr>
        <w:t>文件的响应程度进行审查，以确定是否对</w:t>
      </w:r>
      <w:r>
        <w:rPr>
          <w:rFonts w:hint="eastAsia" w:ascii="微软雅黑" w:hAnsi="微软雅黑" w:eastAsia="微软雅黑"/>
          <w:szCs w:val="21"/>
        </w:rPr>
        <w:t>评比</w:t>
      </w:r>
      <w:r>
        <w:rPr>
          <w:rFonts w:ascii="微软雅黑" w:hAnsi="微软雅黑" w:eastAsia="微软雅黑"/>
          <w:szCs w:val="21"/>
        </w:rPr>
        <w:t>文件的实质性要求作出响应。符合性检查资料表如下：</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37"/>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vAlign w:val="center"/>
          </w:tcPr>
          <w:p>
            <w:pPr>
              <w:spacing w:line="240" w:lineRule="exact"/>
              <w:jc w:val="center"/>
              <w:rPr>
                <w:b/>
                <w:kern w:val="0"/>
                <w:sz w:val="22"/>
                <w:szCs w:val="22"/>
              </w:rPr>
            </w:pPr>
            <w:r>
              <w:rPr>
                <w:b/>
                <w:kern w:val="0"/>
                <w:sz w:val="22"/>
                <w:szCs w:val="22"/>
              </w:rPr>
              <w:t>序号</w:t>
            </w:r>
          </w:p>
        </w:tc>
        <w:tc>
          <w:tcPr>
            <w:tcW w:w="3413" w:type="dxa"/>
            <w:gridSpan w:val="2"/>
            <w:vAlign w:val="center"/>
          </w:tcPr>
          <w:p>
            <w:pPr>
              <w:spacing w:line="240" w:lineRule="exact"/>
              <w:jc w:val="center"/>
              <w:rPr>
                <w:b/>
                <w:kern w:val="0"/>
                <w:sz w:val="22"/>
                <w:szCs w:val="22"/>
              </w:rPr>
            </w:pPr>
            <w:r>
              <w:rPr>
                <w:b/>
                <w:kern w:val="0"/>
                <w:sz w:val="22"/>
                <w:szCs w:val="22"/>
              </w:rPr>
              <w:t>评审因素</w:t>
            </w:r>
          </w:p>
        </w:tc>
        <w:tc>
          <w:tcPr>
            <w:tcW w:w="4809" w:type="dxa"/>
            <w:vAlign w:val="center"/>
          </w:tcPr>
          <w:p>
            <w:pPr>
              <w:spacing w:line="240" w:lineRule="exact"/>
              <w:jc w:val="center"/>
              <w:rPr>
                <w:b/>
                <w:kern w:val="0"/>
                <w:sz w:val="22"/>
                <w:szCs w:val="22"/>
              </w:rPr>
            </w:pPr>
            <w:r>
              <w:rPr>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5" w:type="dxa"/>
            <w:vMerge w:val="restart"/>
            <w:vAlign w:val="center"/>
          </w:tcPr>
          <w:p>
            <w:pPr>
              <w:spacing w:line="240" w:lineRule="atLeast"/>
              <w:jc w:val="center"/>
              <w:rPr>
                <w:rFonts w:hint="eastAsia" w:ascii="宋体" w:hAnsi="宋体" w:eastAsia="宋体"/>
                <w:color w:val="000000" w:themeColor="text1"/>
                <w:sz w:val="22"/>
                <w:szCs w:val="22"/>
                <w14:textFill>
                  <w14:solidFill>
                    <w14:schemeClr w14:val="tx1"/>
                  </w14:solidFill>
                </w14:textFill>
              </w:rPr>
            </w:pPr>
            <w:r>
              <w:rPr>
                <w:rFonts w:hint="eastAsia" w:eastAsia="宋体"/>
                <w:b w:val="0"/>
                <w:bCs/>
                <w:kern w:val="0"/>
                <w:sz w:val="22"/>
                <w:szCs w:val="22"/>
              </w:rPr>
              <w:t>１</w:t>
            </w:r>
          </w:p>
        </w:tc>
        <w:tc>
          <w:tcPr>
            <w:tcW w:w="1276" w:type="dxa"/>
            <w:vMerge w:val="restart"/>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有效性审查</w:t>
            </w:r>
          </w:p>
        </w:tc>
        <w:tc>
          <w:tcPr>
            <w:tcW w:w="2137"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法定代表人身份证明或者授权委托书</w:t>
            </w:r>
          </w:p>
        </w:tc>
        <w:tc>
          <w:tcPr>
            <w:tcW w:w="4809"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法定代表人身份证明或者授权委托书有效，符合评比文件规定的格式，签字或盖章齐全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127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2137"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评比方案</w:t>
            </w:r>
          </w:p>
        </w:tc>
        <w:tc>
          <w:tcPr>
            <w:tcW w:w="4809"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只能有一个方案参与评比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Align w:val="center"/>
          </w:tcPr>
          <w:p>
            <w:pPr>
              <w:spacing w:line="240" w:lineRule="atLeast"/>
              <w:jc w:val="center"/>
              <w:rPr>
                <w:rFonts w:hint="eastAsia" w:eastAsia="宋体"/>
                <w:b w:val="0"/>
                <w:bCs/>
                <w:kern w:val="0"/>
                <w:sz w:val="22"/>
                <w:szCs w:val="22"/>
              </w:rPr>
            </w:pPr>
            <w:r>
              <w:rPr>
                <w:rFonts w:hint="eastAsia" w:eastAsia="宋体"/>
                <w:b w:val="0"/>
                <w:bCs/>
                <w:kern w:val="0"/>
                <w:sz w:val="22"/>
                <w:szCs w:val="22"/>
              </w:rPr>
              <w:t>2</w:t>
            </w:r>
          </w:p>
        </w:tc>
        <w:tc>
          <w:tcPr>
            <w:tcW w:w="1276"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完整性审查</w:t>
            </w:r>
          </w:p>
        </w:tc>
        <w:tc>
          <w:tcPr>
            <w:tcW w:w="2137"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响应文件份数</w:t>
            </w:r>
          </w:p>
        </w:tc>
        <w:tc>
          <w:tcPr>
            <w:tcW w:w="4809"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响应文件正、副本数量符合本评比文件要求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restart"/>
            <w:vAlign w:val="center"/>
          </w:tcPr>
          <w:p>
            <w:pPr>
              <w:spacing w:line="240" w:lineRule="atLeast"/>
              <w:jc w:val="center"/>
              <w:rPr>
                <w:rFonts w:hint="eastAsia" w:eastAsia="宋体"/>
                <w:b w:val="0"/>
                <w:bCs/>
                <w:kern w:val="0"/>
                <w:sz w:val="22"/>
                <w:szCs w:val="22"/>
              </w:rPr>
            </w:pPr>
            <w:r>
              <w:rPr>
                <w:rFonts w:hint="eastAsia" w:eastAsia="宋体"/>
                <w:b w:val="0"/>
                <w:bCs/>
                <w:kern w:val="0"/>
                <w:sz w:val="22"/>
                <w:szCs w:val="22"/>
              </w:rPr>
              <w:t>3</w:t>
            </w:r>
          </w:p>
        </w:tc>
        <w:tc>
          <w:tcPr>
            <w:tcW w:w="1276" w:type="dxa"/>
            <w:vMerge w:val="restart"/>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实质性审查</w:t>
            </w:r>
          </w:p>
        </w:tc>
        <w:tc>
          <w:tcPr>
            <w:tcW w:w="2137"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响应文件内容</w:t>
            </w:r>
          </w:p>
        </w:tc>
        <w:tc>
          <w:tcPr>
            <w:tcW w:w="4809" w:type="dxa"/>
            <w:vAlign w:val="center"/>
          </w:tcPr>
          <w:p>
            <w:pPr>
              <w:spacing w:line="240" w:lineRule="atLeas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1276" w:type="dxa"/>
            <w:vMerge w:val="continue"/>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p>
        </w:tc>
        <w:tc>
          <w:tcPr>
            <w:tcW w:w="2137"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评比有效期</w:t>
            </w:r>
          </w:p>
        </w:tc>
        <w:tc>
          <w:tcPr>
            <w:tcW w:w="4809" w:type="dxa"/>
            <w:vAlign w:val="center"/>
          </w:tcPr>
          <w:p>
            <w:pPr>
              <w:spacing w:line="240" w:lineRule="atLeast"/>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满足评比文件规定</w:t>
            </w:r>
          </w:p>
        </w:tc>
      </w:tr>
    </w:tbl>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3. 澄清有关问题。</w:t>
      </w:r>
      <w:r>
        <w:rPr>
          <w:rFonts w:hint="eastAsia" w:ascii="微软雅黑" w:hAnsi="微软雅黑" w:eastAsia="微软雅黑"/>
          <w:sz w:val="21"/>
          <w:szCs w:val="21"/>
        </w:rPr>
        <w:t>评比</w:t>
      </w:r>
      <w:r>
        <w:rPr>
          <w:rFonts w:ascii="微软雅黑" w:hAnsi="微软雅黑" w:eastAsia="微软雅黑"/>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 xml:space="preserve">4. </w:t>
      </w:r>
      <w:r>
        <w:rPr>
          <w:rFonts w:hint="eastAsia" w:ascii="微软雅黑" w:hAnsi="微软雅黑" w:eastAsia="微软雅黑"/>
          <w:sz w:val="21"/>
          <w:szCs w:val="21"/>
        </w:rPr>
        <w:t>评比</w:t>
      </w:r>
      <w:r>
        <w:rPr>
          <w:rFonts w:ascii="微软雅黑" w:hAnsi="微软雅黑" w:eastAsia="微软雅黑"/>
          <w:sz w:val="21"/>
          <w:szCs w:val="21"/>
        </w:rPr>
        <w:t>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5. 在</w:t>
      </w:r>
      <w:r>
        <w:rPr>
          <w:rFonts w:hint="eastAsia" w:ascii="微软雅黑" w:hAnsi="微软雅黑" w:eastAsia="微软雅黑"/>
          <w:sz w:val="21"/>
          <w:szCs w:val="21"/>
        </w:rPr>
        <w:t>评比</w:t>
      </w:r>
      <w:r>
        <w:rPr>
          <w:rFonts w:ascii="微软雅黑" w:hAnsi="微软雅黑" w:eastAsia="微软雅黑"/>
          <w:sz w:val="21"/>
          <w:szCs w:val="21"/>
        </w:rPr>
        <w:t>过程中</w:t>
      </w:r>
      <w:r>
        <w:rPr>
          <w:rFonts w:hint="eastAsia" w:ascii="微软雅黑" w:hAnsi="微软雅黑" w:eastAsia="微软雅黑"/>
          <w:sz w:val="21"/>
          <w:szCs w:val="21"/>
        </w:rPr>
        <w:t>评比</w:t>
      </w:r>
      <w:r>
        <w:rPr>
          <w:rFonts w:ascii="微软雅黑" w:hAnsi="微软雅黑" w:eastAsia="微软雅黑"/>
          <w:sz w:val="21"/>
          <w:szCs w:val="21"/>
        </w:rPr>
        <w:t>的任何一方不得向他人透露与</w:t>
      </w:r>
      <w:r>
        <w:rPr>
          <w:rFonts w:hint="eastAsia" w:ascii="微软雅黑" w:hAnsi="微软雅黑" w:eastAsia="微软雅黑"/>
          <w:sz w:val="21"/>
          <w:szCs w:val="21"/>
        </w:rPr>
        <w:t>评比</w:t>
      </w:r>
      <w:r>
        <w:rPr>
          <w:rFonts w:ascii="微软雅黑" w:hAnsi="微软雅黑" w:eastAsia="微软雅黑"/>
          <w:sz w:val="21"/>
          <w:szCs w:val="21"/>
        </w:rPr>
        <w:t>有关的相关信息。</w:t>
      </w:r>
    </w:p>
    <w:p>
      <w:pPr>
        <w:spacing w:line="440" w:lineRule="exact"/>
        <w:ind w:firstLine="420" w:firstLineChars="200"/>
        <w:rPr>
          <w:rFonts w:ascii="微软雅黑" w:hAnsi="微软雅黑" w:eastAsia="微软雅黑"/>
          <w:sz w:val="21"/>
          <w:szCs w:val="21"/>
        </w:rPr>
      </w:pPr>
      <w:r>
        <w:rPr>
          <w:rFonts w:ascii="微软雅黑" w:hAnsi="微软雅黑" w:eastAsia="微软雅黑"/>
          <w:sz w:val="21"/>
          <w:szCs w:val="21"/>
        </w:rPr>
        <w:t>6. 本项目采用综合评分法。综合评分法是指响应文件满足</w:t>
      </w:r>
      <w:r>
        <w:rPr>
          <w:rFonts w:hint="eastAsia" w:ascii="微软雅黑" w:hAnsi="微软雅黑" w:eastAsia="微软雅黑"/>
          <w:sz w:val="21"/>
          <w:szCs w:val="21"/>
        </w:rPr>
        <w:t>评比</w:t>
      </w:r>
      <w:r>
        <w:rPr>
          <w:rFonts w:ascii="微软雅黑" w:hAnsi="微软雅黑" w:eastAsia="微软雅黑"/>
          <w:sz w:val="21"/>
          <w:szCs w:val="21"/>
        </w:rPr>
        <w:t>文件全部实质性要求且按照评审因素的量化指标评审得分最高的供应商为中选候选供应商的评审方法</w:t>
      </w:r>
      <w:r>
        <w:rPr>
          <w:rFonts w:hint="eastAsia" w:ascii="微软雅黑" w:hAnsi="微软雅黑" w:eastAsia="微软雅黑"/>
          <w:sz w:val="21"/>
          <w:szCs w:val="21"/>
          <w:lang w:eastAsia="zh-CN"/>
        </w:rPr>
        <w:t>。</w:t>
      </w:r>
      <w:r>
        <w:rPr>
          <w:rFonts w:hint="eastAsia" w:ascii="微软雅黑" w:hAnsi="微软雅黑" w:eastAsia="微软雅黑"/>
          <w:sz w:val="21"/>
          <w:szCs w:val="21"/>
        </w:rPr>
        <w:t>供应商总得分为价格、</w:t>
      </w:r>
      <w:r>
        <w:rPr>
          <w:rFonts w:hint="eastAsia" w:ascii="微软雅黑" w:hAnsi="微软雅黑" w:eastAsia="微软雅黑"/>
          <w:sz w:val="21"/>
          <w:szCs w:val="21"/>
          <w:lang w:val="en-US" w:eastAsia="zh-CN"/>
        </w:rPr>
        <w:t>服务</w:t>
      </w:r>
      <w:r>
        <w:rPr>
          <w:rFonts w:hint="eastAsia" w:ascii="微软雅黑" w:hAnsi="微软雅黑" w:eastAsia="微软雅黑"/>
          <w:sz w:val="21"/>
          <w:szCs w:val="21"/>
        </w:rPr>
        <w:t>、商务等评定因素分别按照相应权重值计算分项得分后相加，满分为100分</w:t>
      </w:r>
      <w:r>
        <w:rPr>
          <w:rFonts w:ascii="微软雅黑" w:hAnsi="微软雅黑" w:eastAsia="微软雅黑"/>
          <w:szCs w:val="21"/>
        </w:rPr>
        <w:t>（详见评审标准）</w:t>
      </w:r>
      <w:r>
        <w:rPr>
          <w:rFonts w:ascii="微软雅黑" w:hAnsi="微软雅黑" w:eastAsia="微软雅黑"/>
          <w:sz w:val="21"/>
          <w:szCs w:val="21"/>
        </w:rPr>
        <w:t>。</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r>
        <w:rPr>
          <w:rFonts w:ascii="微软雅黑" w:hAnsi="微软雅黑" w:eastAsia="微软雅黑"/>
          <w:sz w:val="21"/>
          <w:szCs w:val="21"/>
        </w:rPr>
        <w:t xml:space="preserve">7. </w:t>
      </w:r>
      <w:r>
        <w:rPr>
          <w:rFonts w:hint="eastAsia" w:ascii="微软雅黑" w:hAnsi="微软雅黑" w:eastAsia="微软雅黑"/>
          <w:sz w:val="21"/>
          <w:szCs w:val="21"/>
        </w:rPr>
        <w:t>评比</w:t>
      </w:r>
      <w:r>
        <w:rPr>
          <w:rFonts w:ascii="微软雅黑" w:hAnsi="微软雅黑" w:eastAsia="微软雅黑"/>
          <w:sz w:val="21"/>
          <w:szCs w:val="21"/>
        </w:rPr>
        <w:t>小组各成员独立对每个有效响应的文件进行评价、打分，然后汇总每个供应商每项评分因素的得分，并根据综合评分情况按照评审得分由高到低顺序推荐3名中选候选供应商，并编写评审报告，得分最高的为第一中选候选人。若供应商的评审得分相同的，按照服务方案的优劣顺序排列推荐。</w:t>
      </w:r>
    </w:p>
    <w:p>
      <w:pPr>
        <w:pStyle w:val="5"/>
        <w:pageBreakBefore w:val="0"/>
        <w:widowControl w:val="0"/>
        <w:kinsoku/>
        <w:wordWrap/>
        <w:overflowPunct/>
        <w:topLinePunct w:val="0"/>
        <w:autoSpaceDE/>
        <w:autoSpaceDN/>
        <w:bidi w:val="0"/>
        <w:spacing w:line="480" w:lineRule="exact"/>
        <w:ind w:firstLine="481" w:firstLineChars="200"/>
        <w:textAlignment w:val="auto"/>
        <w:rPr>
          <w:sz w:val="24"/>
          <w:szCs w:val="24"/>
        </w:rPr>
      </w:pPr>
      <w:bookmarkStart w:id="62" w:name="_Toc32615"/>
      <w:bookmarkStart w:id="63" w:name="_Toc13915"/>
      <w:r>
        <w:rPr>
          <w:rFonts w:ascii="微软雅黑" w:hAnsi="微软雅黑" w:eastAsia="微软雅黑"/>
          <w:b/>
          <w:sz w:val="24"/>
          <w:szCs w:val="24"/>
        </w:rPr>
        <w:t>二、评审标准</w:t>
      </w:r>
      <w:bookmarkEnd w:id="62"/>
      <w:bookmarkEnd w:id="63"/>
    </w:p>
    <w:tbl>
      <w:tblPr>
        <w:tblStyle w:val="14"/>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68"/>
        <w:gridCol w:w="1071"/>
        <w:gridCol w:w="466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bookmarkStart w:id="64" w:name="_Toc532648436"/>
            <w:bookmarkStart w:id="65" w:name="_Toc11654"/>
            <w:bookmarkStart w:id="66" w:name="_Toc9921"/>
            <w:bookmarkStart w:id="67" w:name="_Toc30288"/>
            <w:r>
              <w:rPr>
                <w:rFonts w:hint="eastAsia" w:ascii="宋体" w:hAnsi="宋体" w:eastAsia="宋体" w:cs="宋体"/>
                <w:b/>
                <w:bCs/>
                <w:color w:val="000000" w:themeColor="text1"/>
                <w:kern w:val="0"/>
                <w:sz w:val="22"/>
                <w:szCs w:val="22"/>
                <w:highlight w:val="none"/>
                <w14:textFill>
                  <w14:solidFill>
                    <w14:schemeClr w14:val="tx1"/>
                  </w14:solidFill>
                </w14:textFill>
              </w:rPr>
              <w:t>序号</w:t>
            </w:r>
          </w:p>
        </w:tc>
        <w:tc>
          <w:tcPr>
            <w:tcW w:w="116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评分因素及权重</w:t>
            </w:r>
          </w:p>
        </w:tc>
        <w:tc>
          <w:tcPr>
            <w:tcW w:w="10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分值</w:t>
            </w:r>
          </w:p>
        </w:tc>
        <w:tc>
          <w:tcPr>
            <w:tcW w:w="46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评分标准</w:t>
            </w:r>
          </w:p>
        </w:tc>
        <w:tc>
          <w:tcPr>
            <w:tcW w:w="21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8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c>
          <w:tcPr>
            <w:tcW w:w="116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c>
          <w:tcPr>
            <w:tcW w:w="107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c>
          <w:tcPr>
            <w:tcW w:w="466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c>
          <w:tcPr>
            <w:tcW w:w="215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8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w:t>
            </w:r>
          </w:p>
        </w:tc>
        <w:tc>
          <w:tcPr>
            <w:tcW w:w="1168"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经济部分（30%）</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30分</w:t>
            </w:r>
          </w:p>
        </w:tc>
        <w:tc>
          <w:tcPr>
            <w:tcW w:w="46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有效的投标报价中的最低价为评标基准价，其价格分为满分。其他投标人的价格分统一按照下列公式计算：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投标报价得分＝（评标基准价/投标报价）×价格权重×100。</w:t>
            </w:r>
          </w:p>
        </w:tc>
        <w:tc>
          <w:tcPr>
            <w:tcW w:w="21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68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w:t>
            </w:r>
          </w:p>
        </w:tc>
        <w:tc>
          <w:tcPr>
            <w:tcW w:w="11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服务部分（60%）</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20分</w:t>
            </w:r>
          </w:p>
        </w:tc>
        <w:tc>
          <w:tcPr>
            <w:tcW w:w="466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1、视频素材资料储备（20分）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根据供应商针对大重庆（含主城和区县）范围内的影音素材资料（包括但不限于产业、文旅、交通、人文、景点等方面）储备进行评比：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按照</w:t>
            </w:r>
            <w:r>
              <w:rPr>
                <w:rFonts w:hint="eastAsia" w:ascii="宋体" w:hAnsi="宋体" w:eastAsia="宋体"/>
                <w:color w:val="000000" w:themeColor="text1"/>
                <w:sz w:val="22"/>
                <w:szCs w:val="22"/>
                <w:lang w:val="en-US" w:eastAsia="zh-CN"/>
                <w14:textFill>
                  <w14:solidFill>
                    <w14:schemeClr w14:val="tx1"/>
                  </w14:solidFill>
                </w14:textFill>
              </w:rPr>
              <w:t>素材丰富，种类多样，提供</w:t>
            </w:r>
            <w:r>
              <w:rPr>
                <w:rFonts w:hint="eastAsia" w:ascii="宋体" w:hAnsi="宋体"/>
                <w:color w:val="000000" w:themeColor="text1"/>
                <w:sz w:val="22"/>
                <w:szCs w:val="22"/>
                <w:lang w:val="en-US" w:eastAsia="zh-CN"/>
                <w14:textFill>
                  <w14:solidFill>
                    <w14:schemeClr w14:val="tx1"/>
                  </w14:solidFill>
                </w14:textFill>
              </w:rPr>
              <w:t>大重庆（可包含成渝地区）范围内</w:t>
            </w:r>
            <w:r>
              <w:rPr>
                <w:rFonts w:hint="eastAsia" w:ascii="宋体" w:hAnsi="宋体" w:eastAsia="宋体"/>
                <w:color w:val="000000" w:themeColor="text1"/>
                <w:sz w:val="22"/>
                <w:szCs w:val="22"/>
                <w:lang w:val="en-US" w:eastAsia="zh-CN"/>
                <w14:textFill>
                  <w14:solidFill>
                    <w14:schemeClr w14:val="tx1"/>
                  </w14:solidFill>
                </w14:textFill>
              </w:rPr>
              <w:t>不同区县</w:t>
            </w:r>
            <w:r>
              <w:rPr>
                <w:rFonts w:hint="eastAsia" w:ascii="宋体" w:hAnsi="宋体"/>
                <w:color w:val="000000" w:themeColor="text1"/>
                <w:sz w:val="22"/>
                <w:szCs w:val="22"/>
                <w:lang w:val="en-US" w:eastAsia="zh-CN"/>
                <w14:textFill>
                  <w14:solidFill>
                    <w14:schemeClr w14:val="tx1"/>
                  </w14:solidFill>
                </w14:textFill>
              </w:rPr>
              <w:t>相关</w:t>
            </w:r>
            <w:r>
              <w:rPr>
                <w:rFonts w:hint="eastAsia" w:ascii="宋体" w:hAnsi="宋体" w:eastAsia="宋体"/>
                <w:color w:val="000000" w:themeColor="text1"/>
                <w:sz w:val="22"/>
                <w:szCs w:val="22"/>
                <w:lang w:val="en-US" w:eastAsia="zh-CN"/>
                <w14:textFill>
                  <w14:solidFill>
                    <w14:schemeClr w14:val="tx1"/>
                  </w14:solidFill>
                </w14:textFill>
              </w:rPr>
              <w:t>素材，</w:t>
            </w:r>
            <w:r>
              <w:rPr>
                <w:rFonts w:hint="eastAsia" w:ascii="宋体" w:hAnsi="宋体" w:eastAsia="宋体"/>
                <w:b w:val="0"/>
                <w:bCs w:val="0"/>
                <w:color w:val="000000" w:themeColor="text1"/>
                <w:sz w:val="22"/>
                <w:szCs w:val="22"/>
                <w:highlight w:val="none"/>
                <w:lang w:val="en-US" w:eastAsia="zh-CN"/>
                <w14:textFill>
                  <w14:solidFill>
                    <w14:schemeClr w14:val="tx1"/>
                  </w14:solidFill>
                </w14:textFill>
              </w:rPr>
              <w:t>提供1个区县素材得1分，以此类推，</w:t>
            </w:r>
            <w:r>
              <w:rPr>
                <w:rFonts w:hint="eastAsia" w:ascii="宋体" w:hAnsi="宋体"/>
                <w:color w:val="000000" w:themeColor="text1"/>
                <w:sz w:val="22"/>
                <w:szCs w:val="22"/>
                <w:lang w:val="en-US" w:eastAsia="zh-CN"/>
                <w14:textFill>
                  <w14:solidFill>
                    <w14:schemeClr w14:val="tx1"/>
                  </w14:solidFill>
                </w14:textFill>
              </w:rPr>
              <w:t>满分</w:t>
            </w:r>
            <w:r>
              <w:rPr>
                <w:rFonts w:hint="eastAsia" w:ascii="宋体" w:hAnsi="宋体" w:eastAsia="宋体"/>
                <w:color w:val="000000" w:themeColor="text1"/>
                <w:sz w:val="22"/>
                <w:szCs w:val="22"/>
                <w:lang w:val="en-US" w:eastAsia="zh-CN"/>
                <w14:textFill>
                  <w14:solidFill>
                    <w14:schemeClr w14:val="tx1"/>
                  </w14:solidFill>
                </w14:textFill>
              </w:rPr>
              <w:t>20分</w:t>
            </w:r>
            <w:r>
              <w:rPr>
                <w:rFonts w:hint="eastAsia" w:ascii="宋体" w:hAnsi="宋体"/>
                <w:color w:val="000000" w:themeColor="text1"/>
                <w:sz w:val="22"/>
                <w:szCs w:val="2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注：供应商提供各个区县素材播放截图（截图须带有电脑背景桌面）</w:t>
            </w:r>
          </w:p>
        </w:tc>
        <w:tc>
          <w:tcPr>
            <w:tcW w:w="21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供应商自行根据项目需求及评审要求提供服务方案，评审小组根据入围供应商的方案进行横向综合比较评分，未提供或未体现不得分</w:t>
            </w:r>
            <w:r>
              <w:rPr>
                <w:rFonts w:hint="eastAsia" w:ascii="宋体" w:hAnsi="宋体"/>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8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p>
        </w:tc>
        <w:tc>
          <w:tcPr>
            <w:tcW w:w="116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30分</w:t>
            </w:r>
          </w:p>
        </w:tc>
        <w:tc>
          <w:tcPr>
            <w:tcW w:w="466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2、年度服务方案（30分）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2023年“投资重庆”视频号将围绕重大平台、重点产业、重点方向、城市营商环境、人文历史等方面持续打造全市招商引资短视频符号。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供应商针对本项目提供年度服务方案，从方案的可行性、针对性、独特性、创意性等方面，进行评分：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（1）方案科学合理，针对性强，附</w:t>
            </w:r>
            <w:r>
              <w:rPr>
                <w:rFonts w:hint="eastAsia" w:ascii="宋体" w:hAnsi="宋体"/>
                <w:color w:val="000000" w:themeColor="text1"/>
                <w:sz w:val="22"/>
                <w:szCs w:val="22"/>
                <w:lang w:val="en-US" w:eastAsia="zh-CN"/>
                <w14:textFill>
                  <w14:solidFill>
                    <w14:schemeClr w14:val="tx1"/>
                  </w14:solidFill>
                </w14:textFill>
              </w:rPr>
              <w:t>有</w:t>
            </w:r>
            <w:r>
              <w:rPr>
                <w:rFonts w:hint="eastAsia" w:ascii="宋体" w:hAnsi="宋体" w:eastAsia="宋体"/>
                <w:color w:val="000000" w:themeColor="text1"/>
                <w:sz w:val="22"/>
                <w:szCs w:val="22"/>
                <w:lang w:val="en-US" w:eastAsia="zh-CN"/>
                <w14:textFill>
                  <w14:solidFill>
                    <w14:schemeClr w14:val="tx1"/>
                  </w14:solidFill>
                </w14:textFill>
              </w:rPr>
              <w:t>详细工作流程表，得30分；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（2）方案较科学合理，针对性较强，附有工作流程表，得20分；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（3）方案合理性一般，针对性一般，附有工作流程表，得10分；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（4）未提供不得分。</w:t>
            </w:r>
          </w:p>
        </w:tc>
        <w:tc>
          <w:tcPr>
            <w:tcW w:w="215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5" w:hRule="atLeast"/>
          <w:jc w:val="center"/>
        </w:trPr>
        <w:tc>
          <w:tcPr>
            <w:tcW w:w="68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p>
        </w:tc>
        <w:tc>
          <w:tcPr>
            <w:tcW w:w="1168"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10分</w:t>
            </w:r>
          </w:p>
        </w:tc>
        <w:tc>
          <w:tcPr>
            <w:tcW w:w="466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themeColor="text1"/>
                <w:sz w:val="22"/>
                <w:szCs w:val="22"/>
                <w:lang w:val="en-US" w:eastAsia="zh-CN"/>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3、服务团队（10分）</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themeColor="text1"/>
                <w:sz w:val="22"/>
                <w:szCs w:val="22"/>
                <w:lang w:val="en-US" w:eastAsia="zh-CN"/>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视频创意制作及运营服务商应拥有高效稳定的制作团队，具有丰富的视频经验，拥有专业文案、摄像、剪辑、包装、服务等人员。根据供应商拟投入本项目组建工作团队和专业程度进行评分，提供拟组建团队人员分组名单，按照工作思路及技术方案可行性、完备性（服务本项目的团队成员不少于6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themeColor="text1"/>
                <w:sz w:val="22"/>
                <w:szCs w:val="22"/>
                <w:lang w:val="en-US" w:eastAsia="zh-CN"/>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（1）服务团队数量、分组可行、分工合理、符合要求的为优，得10分；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（2）服务团队数量、分组较为可行、较为合理、较符合要求的为良，得7分；</w:t>
            </w:r>
            <w:r>
              <w:rPr>
                <w:rFonts w:hint="eastAsia" w:ascii="宋体" w:hAnsi="宋体" w:eastAsia="宋体" w:cs="Times New Roman"/>
                <w:color w:val="000000" w:themeColor="text1"/>
                <w:sz w:val="22"/>
                <w:szCs w:val="22"/>
                <w:lang w:val="en-US" w:eastAsia="zh-CN"/>
                <w14:textFill>
                  <w14:solidFill>
                    <w14:schemeClr w14:val="tx1"/>
                  </w14:solidFill>
                </w14:textFill>
              </w:rPr>
              <w:br w:type="textWrapping"/>
            </w:r>
            <w:r>
              <w:rPr>
                <w:rFonts w:hint="eastAsia" w:ascii="宋体" w:hAnsi="宋体" w:eastAsia="宋体" w:cs="Times New Roman"/>
                <w:color w:val="000000" w:themeColor="text1"/>
                <w:sz w:val="22"/>
                <w:szCs w:val="22"/>
                <w:lang w:val="en-US" w:eastAsia="zh-CN"/>
                <w14:textFill>
                  <w14:solidFill>
                    <w14:schemeClr w14:val="tx1"/>
                  </w14:solidFill>
                </w14:textFill>
              </w:rPr>
              <w:t>（3）分组可行性、合理性一般，不符合要求的为一般，得4分；</w:t>
            </w:r>
            <w:r>
              <w:rPr>
                <w:rFonts w:hint="eastAsia" w:ascii="宋体" w:hAnsi="宋体" w:eastAsia="宋体" w:cs="Times New Roman"/>
                <w:color w:val="000000" w:themeColor="text1"/>
                <w:sz w:val="22"/>
                <w:szCs w:val="22"/>
                <w:lang w:val="en-US" w:eastAsia="zh-CN"/>
                <w14:textFill>
                  <w14:solidFill>
                    <w14:schemeClr w14:val="tx1"/>
                  </w14:solidFill>
                </w14:textFill>
              </w:rPr>
              <w:br w:type="textWrapping"/>
            </w:r>
            <w:r>
              <w:rPr>
                <w:rFonts w:hint="eastAsia" w:ascii="宋体" w:hAnsi="宋体" w:eastAsia="宋体" w:cs="Times New Roman"/>
                <w:color w:val="000000" w:themeColor="text1"/>
                <w:sz w:val="22"/>
                <w:szCs w:val="22"/>
                <w:lang w:val="en-US" w:eastAsia="zh-CN"/>
                <w14:textFill>
                  <w14:solidFill>
                    <w14:schemeClr w14:val="tx1"/>
                  </w14:solidFill>
                </w14:textFill>
              </w:rPr>
              <w:t>（4）未提供</w:t>
            </w:r>
            <w:r>
              <w:rPr>
                <w:rFonts w:hint="eastAsia" w:ascii="宋体" w:hAnsi="宋体" w:cs="Times New Roman"/>
                <w:color w:val="000000" w:themeColor="text1"/>
                <w:sz w:val="22"/>
                <w:szCs w:val="22"/>
                <w:lang w:val="en-US" w:eastAsia="zh-CN"/>
                <w14:textFill>
                  <w14:solidFill>
                    <w14:schemeClr w14:val="tx1"/>
                  </w14:solidFill>
                </w14:textFill>
              </w:rPr>
              <w:t>不得</w:t>
            </w:r>
            <w:r>
              <w:rPr>
                <w:rFonts w:hint="eastAsia" w:ascii="宋体" w:hAnsi="宋体" w:eastAsia="宋体" w:cs="Times New Roman"/>
                <w:color w:val="000000" w:themeColor="text1"/>
                <w:sz w:val="22"/>
                <w:szCs w:val="22"/>
                <w:lang w:val="en-US" w:eastAsia="zh-CN"/>
                <w14:textFill>
                  <w14:solidFill>
                    <w14:schemeClr w14:val="tx1"/>
                  </w14:solidFill>
                </w14:textFill>
              </w:rPr>
              <w:t>分。</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8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3</w:t>
            </w:r>
          </w:p>
        </w:tc>
        <w:tc>
          <w:tcPr>
            <w:tcW w:w="1168"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商务部分（10%）</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10分</w:t>
            </w:r>
          </w:p>
        </w:tc>
        <w:tc>
          <w:tcPr>
            <w:tcW w:w="466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服务业绩（10分）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b w:val="0"/>
                <w:bCs w:val="0"/>
                <w:color w:val="000000" w:themeColor="text1"/>
                <w:sz w:val="22"/>
                <w:szCs w:val="22"/>
                <w:highlight w:val="none"/>
                <w:lang w:val="en-US" w:eastAsia="zh-CN"/>
                <w14:textFill>
                  <w14:solidFill>
                    <w14:schemeClr w14:val="tx1"/>
                  </w14:solidFill>
                </w14:textFill>
              </w:rPr>
              <w:t>2020年至今，供应商有为政府机关、事业单位提供过微信视频号、抖音号创意制作及宣传服务的，提供1个案例得2分，以此类推，满分10分。</w:t>
            </w:r>
          </w:p>
        </w:tc>
        <w:tc>
          <w:tcPr>
            <w:tcW w:w="2154"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提供相关证明材料（如服务合同或者视频成片截图等）复印件并加盖投标人公章，未提供或不符合要求的不得分。</w:t>
            </w:r>
          </w:p>
        </w:tc>
      </w:tr>
    </w:tbl>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r>
        <w:rPr>
          <w:rFonts w:ascii="微软雅黑" w:hAnsi="微软雅黑" w:eastAsia="微软雅黑"/>
          <w:b/>
          <w:sz w:val="24"/>
        </w:rPr>
        <w:t>三、无效响应</w:t>
      </w:r>
      <w:bookmarkEnd w:id="64"/>
      <w:bookmarkEnd w:id="65"/>
      <w:bookmarkEnd w:id="66"/>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供应商发生以下条款情况之一者，视为无效响应，其响应文件将被拒绝：</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（一）供应商不符合规定的基本资格条件或特定资格条件的；</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（二）供应商所提交的响应文件不按要求签字、盖章；</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（三）单位负责人为同一人或者存在直接控股、管理关系的不同供应商，参加同一合同项下的政府采购活动的；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（四）供应商响应文件内容有与国家现行法律法规相违背的内容，或附有采购人无法接受的条件。</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68" w:name="_Toc22103"/>
      <w:bookmarkStart w:id="69" w:name="_Toc6689"/>
      <w:r>
        <w:rPr>
          <w:rFonts w:ascii="微软雅黑" w:hAnsi="微软雅黑" w:eastAsia="微软雅黑"/>
          <w:b/>
          <w:sz w:val="24"/>
        </w:rPr>
        <w:t>四、采购终止</w:t>
      </w:r>
      <w:bookmarkEnd w:id="68"/>
      <w:bookmarkEnd w:id="69"/>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出现下列情形之一的，采购人应当终止</w:t>
      </w:r>
      <w:r>
        <w:rPr>
          <w:rFonts w:hint="eastAsia" w:ascii="微软雅黑" w:hAnsi="微软雅黑" w:eastAsia="微软雅黑"/>
          <w:szCs w:val="21"/>
        </w:rPr>
        <w:t>评比</w:t>
      </w:r>
      <w:r>
        <w:rPr>
          <w:rFonts w:ascii="微软雅黑" w:hAnsi="微软雅黑" w:eastAsia="微软雅黑"/>
          <w:szCs w:val="21"/>
        </w:rPr>
        <w:t>活动，发布项目终止通知书并说明原因，重新开展采购活动：</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（一）因情况变化，不再符合规定的</w:t>
      </w:r>
      <w:r>
        <w:rPr>
          <w:rFonts w:hint="eastAsia" w:ascii="微软雅黑" w:hAnsi="微软雅黑" w:eastAsia="微软雅黑"/>
          <w:szCs w:val="21"/>
        </w:rPr>
        <w:t>评比</w:t>
      </w:r>
      <w:r>
        <w:rPr>
          <w:rFonts w:ascii="微软雅黑" w:hAnsi="微软雅黑" w:eastAsia="微软雅黑"/>
          <w:szCs w:val="21"/>
        </w:rPr>
        <w:t>方式；</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（二）出现影响</w:t>
      </w:r>
      <w:r>
        <w:rPr>
          <w:rFonts w:hint="eastAsia" w:ascii="微软雅黑" w:hAnsi="微软雅黑" w:eastAsia="微软雅黑"/>
          <w:szCs w:val="21"/>
        </w:rPr>
        <w:t>评比</w:t>
      </w:r>
      <w:r>
        <w:rPr>
          <w:rFonts w:ascii="微软雅黑" w:hAnsi="微软雅黑" w:eastAsia="微软雅黑"/>
          <w:szCs w:val="21"/>
        </w:rPr>
        <w:t>公正的违法、违规行为的；</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szCs w:val="21"/>
          <w:lang w:eastAsia="zh-CN"/>
        </w:rPr>
      </w:pPr>
      <w:r>
        <w:rPr>
          <w:rFonts w:ascii="微软雅黑" w:hAnsi="微软雅黑" w:eastAsia="微软雅黑"/>
          <w:szCs w:val="21"/>
        </w:rPr>
        <w:t>（三）在</w:t>
      </w:r>
      <w:r>
        <w:rPr>
          <w:rFonts w:hint="eastAsia" w:ascii="微软雅黑" w:hAnsi="微软雅黑" w:eastAsia="微软雅黑"/>
          <w:szCs w:val="21"/>
        </w:rPr>
        <w:t>评比</w:t>
      </w:r>
      <w:r>
        <w:rPr>
          <w:rFonts w:ascii="微软雅黑" w:hAnsi="微软雅黑" w:eastAsia="微软雅黑"/>
          <w:szCs w:val="21"/>
        </w:rPr>
        <w:t>过程中符合要求的供应商不足3家的</w:t>
      </w:r>
      <w:r>
        <w:rPr>
          <w:rFonts w:hint="eastAsia" w:ascii="微软雅黑" w:hAnsi="微软雅黑" w:eastAsia="微软雅黑"/>
          <w:szCs w:val="21"/>
          <w:lang w:eastAsia="zh-CN"/>
        </w:rPr>
        <w:t>；</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（四）因重大变故，采购任务取消的。</w:t>
      </w:r>
      <w:bookmarkStart w:id="70" w:name="_Toc26941"/>
      <w:bookmarkStart w:id="71" w:name="_Toc24647"/>
    </w:p>
    <w:p>
      <w:pPr>
        <w:pageBreakBefore w:val="0"/>
        <w:widowControl w:val="0"/>
        <w:kinsoku/>
        <w:wordWrap/>
        <w:overflowPunct/>
        <w:topLinePunct w:val="0"/>
        <w:autoSpaceDE/>
        <w:autoSpaceDN/>
        <w:bidi w:val="0"/>
        <w:spacing w:line="480" w:lineRule="exact"/>
        <w:textAlignment w:val="auto"/>
        <w:rPr>
          <w:rFonts w:ascii="微软雅黑" w:hAnsi="微软雅黑" w:eastAsia="微软雅黑"/>
          <w:szCs w:val="21"/>
        </w:rPr>
      </w:pPr>
      <w:r>
        <w:rPr>
          <w:rFonts w:ascii="微软雅黑" w:hAnsi="微软雅黑" w:eastAsia="微软雅黑"/>
          <w:szCs w:val="21"/>
        </w:rPr>
        <w:br w:type="page"/>
      </w:r>
    </w:p>
    <w:p>
      <w:pPr>
        <w:pageBreakBefore w:val="0"/>
        <w:widowControl w:val="0"/>
        <w:kinsoku/>
        <w:wordWrap/>
        <w:overflowPunct/>
        <w:topLinePunct w:val="0"/>
        <w:autoSpaceDE/>
        <w:autoSpaceDN/>
        <w:bidi w:val="0"/>
        <w:spacing w:line="480" w:lineRule="exact"/>
        <w:ind w:firstLine="722" w:firstLineChars="200"/>
        <w:jc w:val="center"/>
        <w:textAlignment w:val="auto"/>
        <w:rPr>
          <w:b/>
          <w:bCs/>
          <w:sz w:val="28"/>
          <w:szCs w:val="28"/>
        </w:rPr>
      </w:pPr>
      <w:r>
        <w:rPr>
          <w:rFonts w:ascii="微软雅黑" w:hAnsi="微软雅黑" w:eastAsia="微软雅黑"/>
          <w:b/>
          <w:sz w:val="36"/>
          <w:szCs w:val="36"/>
        </w:rPr>
        <w:t>第四</w:t>
      </w:r>
      <w:r>
        <w:rPr>
          <w:rFonts w:hint="eastAsia" w:ascii="微软雅黑" w:hAnsi="微软雅黑" w:eastAsia="微软雅黑"/>
          <w:b/>
          <w:sz w:val="36"/>
          <w:szCs w:val="36"/>
        </w:rPr>
        <w:t>篇</w:t>
      </w:r>
      <w:r>
        <w:rPr>
          <w:rFonts w:ascii="微软雅黑" w:hAnsi="微软雅黑" w:eastAsia="微软雅黑"/>
          <w:b/>
          <w:sz w:val="36"/>
          <w:szCs w:val="36"/>
        </w:rPr>
        <w:t xml:space="preserve">  供应商须知</w:t>
      </w:r>
      <w:bookmarkEnd w:id="70"/>
      <w:bookmarkEnd w:id="71"/>
    </w:p>
    <w:p>
      <w:pPr>
        <w:pStyle w:val="5"/>
        <w:spacing w:line="480" w:lineRule="exact"/>
        <w:ind w:firstLine="481" w:firstLineChars="200"/>
        <w:rPr>
          <w:rFonts w:ascii="微软雅黑" w:hAnsi="微软雅黑" w:eastAsia="微软雅黑"/>
          <w:b/>
          <w:sz w:val="24"/>
        </w:rPr>
      </w:pPr>
      <w:bookmarkStart w:id="72" w:name="_Toc23393"/>
      <w:bookmarkStart w:id="73" w:name="_Toc7036"/>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r>
        <w:rPr>
          <w:rFonts w:ascii="微软雅黑" w:hAnsi="微软雅黑" w:eastAsia="微软雅黑"/>
          <w:b/>
          <w:sz w:val="24"/>
        </w:rPr>
        <w:t>一、响应文件</w:t>
      </w:r>
      <w:bookmarkEnd w:id="72"/>
      <w:bookmarkEnd w:id="73"/>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1．供应商应当按照</w:t>
      </w:r>
      <w:r>
        <w:rPr>
          <w:rFonts w:hint="eastAsia" w:ascii="微软雅黑" w:hAnsi="微软雅黑" w:eastAsia="微软雅黑"/>
          <w:szCs w:val="21"/>
        </w:rPr>
        <w:t>评比</w:t>
      </w:r>
      <w:r>
        <w:rPr>
          <w:rFonts w:ascii="微软雅黑" w:hAnsi="微软雅黑" w:eastAsia="微软雅黑"/>
          <w:szCs w:val="21"/>
        </w:rPr>
        <w:t>文件的要求编制响应文件，并对</w:t>
      </w:r>
      <w:r>
        <w:rPr>
          <w:rFonts w:hint="eastAsia" w:ascii="微软雅黑" w:hAnsi="微软雅黑" w:eastAsia="微软雅黑"/>
          <w:szCs w:val="21"/>
        </w:rPr>
        <w:t>评比</w:t>
      </w:r>
      <w:r>
        <w:rPr>
          <w:rFonts w:ascii="微软雅黑" w:hAnsi="微软雅黑" w:eastAsia="微软雅黑"/>
          <w:szCs w:val="21"/>
        </w:rPr>
        <w:t>文件提出的要求和条件作出实质性响应。</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2．响应文件由第五篇“响应文件</w:t>
      </w:r>
      <w:r>
        <w:rPr>
          <w:rFonts w:hint="eastAsia" w:ascii="微软雅黑" w:hAnsi="微软雅黑" w:eastAsia="微软雅黑"/>
          <w:szCs w:val="21"/>
          <w:lang w:eastAsia="zh-CN"/>
        </w:rPr>
        <w:t>编制要求</w:t>
      </w:r>
      <w:r>
        <w:rPr>
          <w:rFonts w:ascii="微软雅黑" w:hAnsi="微软雅黑" w:eastAsia="微软雅黑"/>
          <w:szCs w:val="21"/>
        </w:rPr>
        <w:t>”规定的部分和供应商所作的一切有效补充、修改和承诺等文件组成，供应商应按照第五篇“响应文件编制要求”规定的目录顺序组织编写和装订，也可在基本格式基础上对表格进行扩展，未规定格式的由供应商自定格式。</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74" w:name="_Toc27711"/>
      <w:bookmarkStart w:id="75" w:name="_Toc5372"/>
      <w:r>
        <w:rPr>
          <w:rFonts w:ascii="微软雅黑" w:hAnsi="微软雅黑" w:eastAsia="微软雅黑"/>
          <w:b/>
          <w:sz w:val="24"/>
        </w:rPr>
        <w:t>二、</w:t>
      </w:r>
      <w:r>
        <w:rPr>
          <w:rFonts w:hint="eastAsia" w:ascii="微软雅黑" w:hAnsi="微软雅黑" w:eastAsia="微软雅黑"/>
          <w:b/>
          <w:sz w:val="24"/>
        </w:rPr>
        <w:t>评比</w:t>
      </w:r>
      <w:r>
        <w:rPr>
          <w:rFonts w:ascii="微软雅黑" w:hAnsi="微软雅黑" w:eastAsia="微软雅黑"/>
          <w:b/>
          <w:sz w:val="24"/>
        </w:rPr>
        <w:t>有效期</w:t>
      </w:r>
      <w:bookmarkEnd w:id="74"/>
      <w:bookmarkEnd w:id="75"/>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响应文件及有关承诺文件有效期为提交响应文件截止时间起90天。</w:t>
      </w:r>
    </w:p>
    <w:p>
      <w:pPr>
        <w:pStyle w:val="5"/>
        <w:pageBreakBefore w:val="0"/>
        <w:widowControl w:val="0"/>
        <w:kinsoku/>
        <w:wordWrap/>
        <w:overflowPunct/>
        <w:topLinePunct w:val="0"/>
        <w:autoSpaceDE/>
        <w:autoSpaceDN/>
        <w:bidi w:val="0"/>
        <w:spacing w:line="480" w:lineRule="exact"/>
        <w:ind w:firstLine="481" w:firstLineChars="200"/>
        <w:textAlignment w:val="auto"/>
        <w:rPr>
          <w:b/>
          <w:bCs/>
          <w:sz w:val="24"/>
          <w:szCs w:val="24"/>
        </w:rPr>
      </w:pPr>
      <w:bookmarkStart w:id="76" w:name="_Toc2687"/>
      <w:bookmarkStart w:id="77" w:name="_Toc27851"/>
      <w:r>
        <w:rPr>
          <w:rFonts w:ascii="微软雅黑" w:hAnsi="微软雅黑" w:eastAsia="微软雅黑"/>
          <w:b/>
          <w:sz w:val="24"/>
          <w:szCs w:val="24"/>
        </w:rPr>
        <w:t>三、提交响应文件的份数和签署</w:t>
      </w:r>
      <w:bookmarkEnd w:id="76"/>
      <w:bookmarkEnd w:id="77"/>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1. 响应文件一式</w:t>
      </w:r>
      <w:r>
        <w:rPr>
          <w:rFonts w:hint="eastAsia" w:ascii="微软雅黑" w:hAnsi="微软雅黑" w:eastAsia="微软雅黑"/>
          <w:szCs w:val="21"/>
          <w:lang w:eastAsia="zh-CN"/>
        </w:rPr>
        <w:t>三</w:t>
      </w:r>
      <w:r>
        <w:rPr>
          <w:rFonts w:ascii="微软雅黑" w:hAnsi="微软雅黑" w:eastAsia="微软雅黑"/>
          <w:szCs w:val="21"/>
        </w:rPr>
        <w:t>份，其中正本一份，副本</w:t>
      </w:r>
      <w:r>
        <w:rPr>
          <w:rFonts w:hint="eastAsia" w:ascii="微软雅黑" w:hAnsi="微软雅黑" w:eastAsia="微软雅黑"/>
          <w:szCs w:val="21"/>
          <w:lang w:eastAsia="zh-CN"/>
        </w:rPr>
        <w:t>两</w:t>
      </w:r>
      <w:r>
        <w:rPr>
          <w:rFonts w:ascii="微软雅黑" w:hAnsi="微软雅黑" w:eastAsia="微软雅黑"/>
          <w:szCs w:val="21"/>
        </w:rPr>
        <w:t>份；副本可为正本的复印件，应与正本一致，如出现不一致情况以正本为准。</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2. 在响应文件正本中，</w:t>
      </w:r>
      <w:r>
        <w:rPr>
          <w:rFonts w:hint="eastAsia" w:ascii="微软雅黑" w:hAnsi="微软雅黑" w:eastAsia="微软雅黑"/>
          <w:szCs w:val="21"/>
        </w:rPr>
        <w:t>评比</w:t>
      </w:r>
      <w:r>
        <w:rPr>
          <w:rFonts w:ascii="微软雅黑" w:hAnsi="微软雅黑" w:eastAsia="微软雅黑"/>
          <w:szCs w:val="21"/>
        </w:rPr>
        <w:t>文件第五</w:t>
      </w:r>
      <w:r>
        <w:rPr>
          <w:rFonts w:hint="eastAsia" w:ascii="微软雅黑" w:hAnsi="微软雅黑" w:eastAsia="微软雅黑"/>
          <w:szCs w:val="21"/>
          <w:lang w:eastAsia="zh-CN"/>
        </w:rPr>
        <w:t>篇</w:t>
      </w:r>
      <w:r>
        <w:rPr>
          <w:rFonts w:ascii="微软雅黑" w:hAnsi="微软雅黑" w:eastAsia="微软雅黑"/>
          <w:szCs w:val="21"/>
        </w:rPr>
        <w:t>响应文件格式编制要求中规定签字、盖章的地方必须按其规定签字、盖章。</w:t>
      </w:r>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78" w:name="_Toc30483"/>
      <w:bookmarkStart w:id="79" w:name="_Toc31086"/>
      <w:r>
        <w:rPr>
          <w:rFonts w:ascii="微软雅黑" w:hAnsi="微软雅黑" w:eastAsia="微软雅黑"/>
          <w:b/>
          <w:sz w:val="24"/>
        </w:rPr>
        <w:t>四、响应文件的递交</w:t>
      </w:r>
      <w:bookmarkEnd w:id="78"/>
      <w:bookmarkEnd w:id="79"/>
    </w:p>
    <w:p>
      <w:pPr>
        <w:pageBreakBefore w:val="0"/>
        <w:widowControl w:val="0"/>
        <w:kinsoku/>
        <w:wordWrap/>
        <w:overflowPunct/>
        <w:topLinePunct w:val="0"/>
        <w:autoSpaceDE/>
        <w:autoSpaceDN/>
        <w:bidi w:val="0"/>
        <w:spacing w:line="480" w:lineRule="exact"/>
        <w:ind w:firstLine="420" w:firstLineChars="200"/>
        <w:textAlignment w:val="auto"/>
        <w:outlineLvl w:val="1"/>
        <w:rPr>
          <w:rFonts w:ascii="微软雅黑" w:hAnsi="微软雅黑" w:eastAsia="微软雅黑"/>
          <w:szCs w:val="21"/>
        </w:rPr>
      </w:pPr>
      <w:bookmarkStart w:id="80" w:name="_Toc12428"/>
      <w:bookmarkStart w:id="81" w:name="_Toc6264"/>
      <w:r>
        <w:rPr>
          <w:rFonts w:ascii="微软雅黑" w:hAnsi="微软雅黑" w:eastAsia="微软雅黑"/>
          <w:szCs w:val="21"/>
        </w:rPr>
        <w:t>1. 响应文件的密封与标记</w:t>
      </w:r>
      <w:bookmarkEnd w:id="80"/>
      <w:bookmarkEnd w:id="81"/>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响应文件的正本、副本均应密封送达评选地点。应在封套上注明项目名称、供应商名称。若正本、副本分别进行密封的，还应在封套上注明“正本”、“副本”字样。封套的封口处应加盖供应商公章或由法定代表人授权代表签字。</w:t>
      </w:r>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highlight w:val="none"/>
        </w:rPr>
      </w:pPr>
      <w:bookmarkStart w:id="82" w:name="_Toc18162"/>
      <w:bookmarkStart w:id="83" w:name="_Toc19656"/>
      <w:r>
        <w:rPr>
          <w:rFonts w:ascii="微软雅黑" w:hAnsi="微软雅黑" w:eastAsia="微软雅黑"/>
          <w:szCs w:val="21"/>
          <w:highlight w:val="none"/>
        </w:rPr>
        <w:t>2. 响应文件递交截止时间：</w:t>
      </w:r>
      <w:r>
        <w:rPr>
          <w:rFonts w:hint="eastAsia" w:ascii="微软雅黑" w:hAnsi="微软雅黑" w:eastAsia="微软雅黑"/>
          <w:szCs w:val="21"/>
          <w:highlight w:val="none"/>
        </w:rPr>
        <w:t>2</w:t>
      </w:r>
      <w:r>
        <w:rPr>
          <w:rFonts w:ascii="微软雅黑" w:hAnsi="微软雅黑" w:eastAsia="微软雅黑"/>
          <w:szCs w:val="21"/>
          <w:highlight w:val="none"/>
        </w:rPr>
        <w:t>02</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w:t>
      </w:r>
      <w:r>
        <w:rPr>
          <w:rFonts w:ascii="微软雅黑" w:hAnsi="微软雅黑" w:eastAsia="微软雅黑"/>
          <w:szCs w:val="21"/>
          <w:highlight w:val="none"/>
        </w:rPr>
        <w:t>18</w:t>
      </w:r>
      <w:r>
        <w:rPr>
          <w:rFonts w:hint="eastAsia" w:ascii="微软雅黑" w:hAnsi="微软雅黑" w:eastAsia="微软雅黑"/>
          <w:szCs w:val="21"/>
          <w:highlight w:val="none"/>
        </w:rPr>
        <w:t>时</w:t>
      </w:r>
      <w:r>
        <w:rPr>
          <w:rFonts w:ascii="微软雅黑" w:hAnsi="微软雅黑" w:eastAsia="微软雅黑"/>
          <w:szCs w:val="21"/>
          <w:highlight w:val="none"/>
        </w:rPr>
        <w:t>0</w:t>
      </w:r>
      <w:r>
        <w:rPr>
          <w:rFonts w:hint="eastAsia" w:ascii="微软雅黑" w:hAnsi="微软雅黑" w:eastAsia="微软雅黑"/>
          <w:szCs w:val="21"/>
          <w:highlight w:val="none"/>
        </w:rPr>
        <w:t>0分</w:t>
      </w:r>
      <w:r>
        <w:rPr>
          <w:rFonts w:hint="eastAsia" w:ascii="微软雅黑" w:hAnsi="微软雅黑" w:eastAsia="微软雅黑"/>
          <w:szCs w:val="21"/>
          <w:highlight w:val="none"/>
          <w:lang w:eastAsia="zh-CN"/>
        </w:rPr>
        <w:t>（北京时间）</w:t>
      </w:r>
      <w:r>
        <w:rPr>
          <w:rFonts w:ascii="微软雅黑" w:hAnsi="微软雅黑" w:eastAsia="微软雅黑"/>
          <w:szCs w:val="21"/>
          <w:highlight w:val="none"/>
        </w:rPr>
        <w:t>。</w:t>
      </w:r>
    </w:p>
    <w:p>
      <w:pPr>
        <w:pageBreakBefore w:val="0"/>
        <w:widowControl w:val="0"/>
        <w:kinsoku/>
        <w:wordWrap/>
        <w:overflowPunct/>
        <w:topLinePunct w:val="0"/>
        <w:autoSpaceDE/>
        <w:autoSpaceDN/>
        <w:bidi w:val="0"/>
        <w:spacing w:line="480" w:lineRule="exact"/>
        <w:ind w:firstLine="420" w:firstLineChars="200"/>
        <w:textAlignment w:val="auto"/>
        <w:outlineLvl w:val="1"/>
        <w:rPr>
          <w:rFonts w:ascii="微软雅黑" w:hAnsi="微软雅黑" w:eastAsia="微软雅黑"/>
          <w:szCs w:val="21"/>
        </w:rPr>
      </w:pPr>
      <w:r>
        <w:rPr>
          <w:rFonts w:ascii="微软雅黑" w:hAnsi="微软雅黑" w:eastAsia="微软雅黑"/>
          <w:szCs w:val="21"/>
        </w:rPr>
        <w:t>3. 响应文件语言：简体中文</w:t>
      </w:r>
      <w:bookmarkEnd w:id="82"/>
      <w:bookmarkEnd w:id="83"/>
    </w:p>
    <w:p>
      <w:pPr>
        <w:pStyle w:val="5"/>
        <w:pageBreakBefore w:val="0"/>
        <w:widowControl w:val="0"/>
        <w:kinsoku/>
        <w:wordWrap/>
        <w:overflowPunct/>
        <w:topLinePunct w:val="0"/>
        <w:autoSpaceDE/>
        <w:autoSpaceDN/>
        <w:bidi w:val="0"/>
        <w:spacing w:line="480" w:lineRule="exact"/>
        <w:ind w:firstLine="481" w:firstLineChars="200"/>
        <w:textAlignment w:val="auto"/>
        <w:rPr>
          <w:rFonts w:ascii="微软雅黑" w:hAnsi="微软雅黑" w:eastAsia="微软雅黑"/>
          <w:b/>
          <w:sz w:val="24"/>
        </w:rPr>
      </w:pPr>
      <w:bookmarkStart w:id="84" w:name="_Toc29059"/>
      <w:bookmarkStart w:id="85" w:name="_Toc428437953"/>
      <w:bookmarkStart w:id="86" w:name="_Toc14849"/>
      <w:bookmarkStart w:id="87" w:name="_Toc42691873"/>
      <w:r>
        <w:rPr>
          <w:rFonts w:ascii="微软雅黑" w:hAnsi="微软雅黑" w:eastAsia="微软雅黑"/>
          <w:b/>
          <w:sz w:val="24"/>
        </w:rPr>
        <w:t>五、中选供应商的确认和变更</w:t>
      </w:r>
      <w:bookmarkEnd w:id="84"/>
      <w:bookmarkEnd w:id="85"/>
      <w:bookmarkEnd w:id="86"/>
      <w:bookmarkEnd w:id="87"/>
    </w:p>
    <w:p>
      <w:pPr>
        <w:pStyle w:val="5"/>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 w:val="21"/>
          <w:szCs w:val="21"/>
        </w:rPr>
      </w:pPr>
      <w:bookmarkStart w:id="88" w:name="_Toc4061"/>
      <w:bookmarkStart w:id="89" w:name="_Toc515"/>
      <w:bookmarkStart w:id="90" w:name="_Toc24762"/>
      <w:r>
        <w:rPr>
          <w:rFonts w:ascii="微软雅黑" w:hAnsi="微软雅黑" w:eastAsia="微软雅黑"/>
          <w:sz w:val="21"/>
          <w:szCs w:val="21"/>
        </w:rPr>
        <w:t>（一）中选供应商确定后，采购人将</w:t>
      </w:r>
      <w:r>
        <w:rPr>
          <w:rFonts w:hint="eastAsia" w:ascii="微软雅黑" w:hAnsi="微软雅黑" w:eastAsia="微软雅黑"/>
          <w:sz w:val="21"/>
          <w:szCs w:val="21"/>
          <w:lang w:val="en-US" w:eastAsia="zh-CN"/>
        </w:rPr>
        <w:t>3</w:t>
      </w:r>
      <w:r>
        <w:rPr>
          <w:rFonts w:ascii="微软雅黑" w:hAnsi="微软雅黑" w:eastAsia="微软雅黑"/>
          <w:sz w:val="21"/>
          <w:szCs w:val="21"/>
        </w:rPr>
        <w:t>个工作日内以书面形式发出《中选通知书》。《中选通知书》一经发出即发生法律效力。</w:t>
      </w:r>
      <w:bookmarkEnd w:id="88"/>
      <w:bookmarkEnd w:id="89"/>
      <w:bookmarkEnd w:id="90"/>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pPr>
      <w:r>
        <w:rPr>
          <w:rFonts w:ascii="微软雅黑" w:hAnsi="微软雅黑" w:eastAsia="微软雅黑"/>
          <w:szCs w:val="21"/>
        </w:rPr>
        <w:t>（二）《中选通知书》将作为签订合同的依据。</w:t>
      </w:r>
      <w:bookmarkStart w:id="91" w:name="_Toc14430"/>
      <w:bookmarkStart w:id="92" w:name="_Toc15007"/>
    </w:p>
    <w:p>
      <w:pPr>
        <w:rPr>
          <w:rFonts w:ascii="微软雅黑" w:hAnsi="微软雅黑" w:eastAsia="微软雅黑"/>
          <w:b/>
          <w:sz w:val="36"/>
          <w:szCs w:val="36"/>
        </w:rPr>
      </w:pPr>
      <w:r>
        <w:rPr>
          <w:rFonts w:ascii="微软雅黑" w:hAnsi="微软雅黑" w:eastAsia="微软雅黑"/>
          <w:b/>
          <w:sz w:val="36"/>
          <w:szCs w:val="36"/>
        </w:rPr>
        <w:br w:type="page"/>
      </w:r>
    </w:p>
    <w:p>
      <w:pPr>
        <w:jc w:val="center"/>
        <w:rPr>
          <w:b/>
          <w:bCs/>
          <w:sz w:val="36"/>
          <w:szCs w:val="36"/>
        </w:rPr>
      </w:pPr>
      <w:r>
        <w:rPr>
          <w:rFonts w:hint="eastAsia" w:ascii="微软雅黑" w:hAnsi="微软雅黑" w:eastAsia="微软雅黑"/>
          <w:b/>
          <w:sz w:val="36"/>
          <w:szCs w:val="36"/>
          <w:lang w:eastAsia="zh-CN"/>
        </w:rPr>
        <w:t>第</w:t>
      </w:r>
      <w:r>
        <w:rPr>
          <w:rFonts w:ascii="微软雅黑" w:hAnsi="微软雅黑" w:eastAsia="微软雅黑"/>
          <w:b/>
          <w:sz w:val="36"/>
          <w:szCs w:val="36"/>
        </w:rPr>
        <w:t>五</w:t>
      </w:r>
      <w:r>
        <w:rPr>
          <w:rFonts w:hint="eastAsia" w:ascii="微软雅黑" w:hAnsi="微软雅黑" w:eastAsia="微软雅黑"/>
          <w:b/>
          <w:sz w:val="36"/>
          <w:szCs w:val="36"/>
        </w:rPr>
        <w:t>篇</w:t>
      </w:r>
      <w:r>
        <w:rPr>
          <w:rFonts w:ascii="微软雅黑" w:hAnsi="微软雅黑" w:eastAsia="微软雅黑"/>
          <w:b/>
          <w:sz w:val="36"/>
          <w:szCs w:val="36"/>
        </w:rPr>
        <w:t xml:space="preserve"> 响应文件</w:t>
      </w:r>
      <w:r>
        <w:rPr>
          <w:rFonts w:hint="eastAsia" w:ascii="微软雅黑" w:hAnsi="微软雅黑" w:eastAsia="微软雅黑"/>
          <w:b/>
          <w:sz w:val="36"/>
          <w:szCs w:val="36"/>
          <w:lang w:eastAsia="zh-CN"/>
        </w:rPr>
        <w:t>编制要求</w:t>
      </w:r>
      <w:bookmarkEnd w:id="91"/>
      <w:bookmarkEnd w:id="92"/>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微软雅黑" w:hAnsi="微软雅黑" w:eastAsia="微软雅黑"/>
          <w:szCs w:val="21"/>
        </w:rPr>
      </w:pPr>
      <w:bookmarkStart w:id="93" w:name="_Toc6370"/>
      <w:bookmarkStart w:id="94" w:name="_Toc32387"/>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r>
        <w:rPr>
          <w:rFonts w:hint="eastAsia" w:ascii="微软雅黑" w:hAnsi="微软雅黑" w:eastAsia="微软雅黑"/>
          <w:szCs w:val="21"/>
        </w:rPr>
        <w:t>1.投标人简介材料；</w:t>
      </w:r>
      <w:bookmarkEnd w:id="93"/>
      <w:bookmarkEnd w:id="94"/>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95" w:name="_Toc19988"/>
      <w:bookmarkStart w:id="96" w:name="_Toc25870"/>
      <w:r>
        <w:rPr>
          <w:rFonts w:hint="eastAsia" w:ascii="微软雅黑" w:hAnsi="微软雅黑" w:eastAsia="微软雅黑"/>
          <w:szCs w:val="21"/>
        </w:rPr>
        <w:t>2.投标项目及价格；</w:t>
      </w:r>
      <w:bookmarkEnd w:id="95"/>
      <w:bookmarkEnd w:id="96"/>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97" w:name="_Toc1023"/>
      <w:bookmarkStart w:id="98" w:name="_Toc7637"/>
      <w:r>
        <w:rPr>
          <w:rFonts w:hint="eastAsia" w:ascii="微软雅黑" w:hAnsi="微软雅黑" w:eastAsia="微软雅黑"/>
          <w:szCs w:val="21"/>
        </w:rPr>
        <w:t>3类似</w:t>
      </w:r>
      <w:r>
        <w:rPr>
          <w:rFonts w:hint="eastAsia" w:ascii="微软雅黑" w:hAnsi="微软雅黑" w:eastAsia="微软雅黑"/>
          <w:szCs w:val="21"/>
          <w:lang w:eastAsia="zh-CN"/>
        </w:rPr>
        <w:t>项目</w:t>
      </w:r>
      <w:r>
        <w:rPr>
          <w:rFonts w:hint="eastAsia" w:ascii="微软雅黑" w:hAnsi="微软雅黑" w:eastAsia="微软雅黑"/>
          <w:szCs w:val="21"/>
        </w:rPr>
        <w:t>相关证明及案例图；</w:t>
      </w:r>
      <w:bookmarkEnd w:id="97"/>
      <w:bookmarkEnd w:id="98"/>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99" w:name="_Toc31229"/>
      <w:bookmarkStart w:id="100" w:name="_Toc17892"/>
      <w:r>
        <w:rPr>
          <w:rFonts w:hint="eastAsia" w:ascii="微软雅黑" w:hAnsi="微软雅黑" w:eastAsia="微软雅黑"/>
          <w:szCs w:val="21"/>
        </w:rPr>
        <w:t>4.</w:t>
      </w:r>
      <w:r>
        <w:rPr>
          <w:rFonts w:hint="eastAsia" w:ascii="微软雅黑" w:hAnsi="微软雅黑" w:eastAsia="微软雅黑"/>
          <w:szCs w:val="21"/>
          <w:lang w:eastAsia="zh-CN"/>
        </w:rPr>
        <w:t>项目</w:t>
      </w:r>
      <w:r>
        <w:rPr>
          <w:rFonts w:hint="eastAsia" w:ascii="微软雅黑" w:hAnsi="微软雅黑" w:eastAsia="微软雅黑"/>
          <w:szCs w:val="21"/>
        </w:rPr>
        <w:t>服务方案；</w:t>
      </w:r>
      <w:bookmarkEnd w:id="99"/>
      <w:bookmarkEnd w:id="100"/>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101" w:name="_Toc18436"/>
      <w:bookmarkStart w:id="102" w:name="_Toc20404"/>
      <w:r>
        <w:rPr>
          <w:rFonts w:hint="eastAsia" w:ascii="微软雅黑" w:hAnsi="微软雅黑" w:eastAsia="微软雅黑"/>
          <w:szCs w:val="21"/>
        </w:rPr>
        <w:t>5.书面声明，承诺具有履行合同所必需的</w:t>
      </w:r>
      <w:r>
        <w:rPr>
          <w:rFonts w:hint="eastAsia" w:ascii="微软雅黑" w:hAnsi="微软雅黑" w:eastAsia="微软雅黑"/>
          <w:szCs w:val="21"/>
          <w:lang w:eastAsia="zh-CN"/>
        </w:rPr>
        <w:t>执行团队和服务能力</w:t>
      </w:r>
      <w:r>
        <w:rPr>
          <w:rFonts w:hint="eastAsia" w:ascii="微软雅黑" w:hAnsi="微软雅黑" w:eastAsia="微软雅黑"/>
          <w:szCs w:val="21"/>
        </w:rPr>
        <w:t>；承诺参加政府采购活动前三年内，在经营活动中没有受过刑事处罚、行政处罚、行业自律惩戒；</w:t>
      </w:r>
      <w:bookmarkEnd w:id="101"/>
      <w:bookmarkEnd w:id="102"/>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103" w:name="_Toc5247"/>
      <w:bookmarkStart w:id="104" w:name="_Toc5274"/>
      <w:r>
        <w:rPr>
          <w:rFonts w:hint="eastAsia" w:ascii="微软雅黑" w:hAnsi="微软雅黑" w:eastAsia="微软雅黑"/>
          <w:szCs w:val="21"/>
        </w:rPr>
        <w:t>6.依法缴纳税收和社会保障金的证明材料复印件；依法免税或不需要缴纳社会保障资金的供应商，应提供相应文件证明其依法免税或不需要缴纳社会保障资金；</w:t>
      </w:r>
      <w:bookmarkEnd w:id="103"/>
      <w:bookmarkEnd w:id="104"/>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105" w:name="_Toc30410"/>
      <w:bookmarkStart w:id="106" w:name="_Toc9946"/>
      <w:r>
        <w:rPr>
          <w:rFonts w:hint="eastAsia" w:ascii="微软雅黑" w:hAnsi="微软雅黑" w:eastAsia="微软雅黑"/>
          <w:szCs w:val="21"/>
        </w:rPr>
        <w:t>7.投标人法定代表人证明书或授权委托函原件材料</w:t>
      </w:r>
      <w:bookmarkEnd w:id="105"/>
      <w:bookmarkEnd w:id="106"/>
      <w:r>
        <w:rPr>
          <w:rFonts w:hint="eastAsia" w:ascii="微软雅黑" w:hAnsi="微软雅黑" w:eastAsia="微软雅黑"/>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微软雅黑" w:hAnsi="微软雅黑" w:eastAsia="微软雅黑"/>
          <w:szCs w:val="21"/>
        </w:rPr>
      </w:pPr>
      <w:bookmarkStart w:id="107" w:name="_Toc30526"/>
      <w:bookmarkStart w:id="108" w:name="_Toc29846"/>
      <w:r>
        <w:rPr>
          <w:rFonts w:hint="eastAsia" w:ascii="微软雅黑" w:hAnsi="微软雅黑" w:eastAsia="微软雅黑"/>
          <w:szCs w:val="21"/>
        </w:rPr>
        <w:t>8.采购人要求提供的其他证明材料。</w:t>
      </w:r>
      <w:bookmarkEnd w:id="107"/>
      <w:bookmarkEnd w:id="108"/>
    </w:p>
    <w:p>
      <w:pPr>
        <w:pageBreakBefore w:val="0"/>
        <w:widowControl w:val="0"/>
        <w:kinsoku/>
        <w:wordWrap/>
        <w:overflowPunct/>
        <w:topLinePunct w:val="0"/>
        <w:autoSpaceDE/>
        <w:autoSpaceDN/>
        <w:bidi w:val="0"/>
        <w:spacing w:line="480" w:lineRule="exact"/>
        <w:ind w:firstLine="420" w:firstLineChars="200"/>
        <w:textAlignment w:val="auto"/>
        <w:rPr>
          <w:rFonts w:ascii="微软雅黑" w:hAnsi="微软雅黑" w:eastAsia="微软雅黑"/>
          <w:szCs w:val="21"/>
        </w:rPr>
        <w:sectPr>
          <w:footerReference r:id="rId11" w:type="default"/>
          <w:pgSz w:w="11906" w:h="16838"/>
          <w:pgMar w:top="2098" w:right="1474" w:bottom="1985" w:left="1588" w:header="851" w:footer="851" w:gutter="0"/>
          <w:pgNumType w:fmt="decimal" w:start="1"/>
          <w:cols w:space="720" w:num="1"/>
          <w:docGrid w:linePitch="388" w:charSpace="-1260"/>
        </w:sectPr>
      </w:pPr>
    </w:p>
    <w:p>
      <w:pPr>
        <w:adjustRightInd w:val="0"/>
        <w:snapToGrid w:val="0"/>
        <w:spacing w:line="580" w:lineRule="exact"/>
        <w:ind w:firstLine="560" w:firstLineChars="200"/>
        <w:outlineLvl w:val="1"/>
        <w:rPr>
          <w:rFonts w:eastAsia="微软雅黑"/>
          <w:sz w:val="28"/>
          <w:szCs w:val="28"/>
        </w:rPr>
      </w:pPr>
      <w:bookmarkStart w:id="109" w:name="_Toc16981"/>
      <w:r>
        <w:rPr>
          <w:rFonts w:hint="default" w:ascii="Times New Roman" w:hAnsi="Times New Roman" w:cs="Times New Roman" w:eastAsiaTheme="minorEastAsia"/>
          <w:sz w:val="28"/>
          <w:szCs w:val="28"/>
        </w:rPr>
        <w:t>1.</w:t>
      </w:r>
      <w:r>
        <w:rPr>
          <w:rFonts w:hint="eastAsia" w:asciiTheme="minorEastAsia" w:hAnsiTheme="minorEastAsia" w:eastAsiaTheme="minorEastAsia" w:cstheme="minorEastAsia"/>
          <w:sz w:val="28"/>
          <w:szCs w:val="28"/>
        </w:rPr>
        <w:t>投标人简介材料（格式自拟）</w:t>
      </w:r>
      <w:bookmarkEnd w:id="109"/>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eastAsia="微软雅黑"/>
        </w:rPr>
      </w:pPr>
    </w:p>
    <w:p>
      <w:pPr>
        <w:rPr>
          <w:rFonts w:eastAsia="微软雅黑"/>
          <w:sz w:val="24"/>
        </w:rPr>
      </w:pPr>
    </w:p>
    <w:p>
      <w:pPr>
        <w:pStyle w:val="7"/>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rPr>
          <w:rFonts w:hint="eastAsia"/>
          <w:sz w:val="28"/>
          <w:szCs w:val="28"/>
          <w:lang w:val="en-US" w:eastAsia="zh-CN"/>
        </w:rPr>
      </w:pPr>
      <w:bookmarkStart w:id="110" w:name="_Toc11332"/>
      <w:r>
        <w:rPr>
          <w:rFonts w:hint="eastAsia"/>
          <w:sz w:val="28"/>
          <w:szCs w:val="28"/>
          <w:lang w:val="en-US" w:eastAsia="zh-CN"/>
        </w:rPr>
        <w:br w:type="page"/>
      </w:r>
    </w:p>
    <w:p>
      <w:pPr>
        <w:numPr>
          <w:ilvl w:val="0"/>
          <w:numId w:val="0"/>
        </w:numPr>
        <w:adjustRightInd w:val="0"/>
        <w:snapToGrid w:val="0"/>
        <w:spacing w:line="580" w:lineRule="exact"/>
        <w:outlineLvl w:val="1"/>
        <w:rPr>
          <w:sz w:val="28"/>
          <w:szCs w:val="28"/>
        </w:rPr>
      </w:pPr>
      <w:r>
        <w:rPr>
          <w:rFonts w:hint="eastAsia"/>
          <w:sz w:val="28"/>
          <w:szCs w:val="28"/>
          <w:lang w:val="en-US" w:eastAsia="zh-CN"/>
        </w:rPr>
        <w:t>2.</w:t>
      </w:r>
      <w:r>
        <w:rPr>
          <w:rFonts w:hint="eastAsia"/>
          <w:sz w:val="28"/>
          <w:szCs w:val="28"/>
        </w:rPr>
        <w:t>投标项目及价格</w:t>
      </w:r>
      <w:bookmarkEnd w:id="110"/>
    </w:p>
    <w:p>
      <w:pPr>
        <w:pStyle w:val="6"/>
        <w:numPr>
          <w:ilvl w:val="0"/>
          <w:numId w:val="0"/>
        </w:numPr>
        <w:jc w:val="both"/>
        <w:rPr>
          <w:color w:val="000000"/>
        </w:rPr>
      </w:pPr>
      <w:bookmarkStart w:id="111" w:name="_Toc505867283"/>
      <w:r>
        <w:rPr>
          <w:rFonts w:hint="eastAsia"/>
          <w:color w:val="000000"/>
          <w:lang w:val="en-US" w:eastAsia="zh-CN"/>
        </w:rPr>
        <w:t>2.</w:t>
      </w:r>
      <w:r>
        <w:rPr>
          <w:rFonts w:hint="eastAsia"/>
          <w:color w:val="000000"/>
        </w:rPr>
        <w:t>1投标报价函</w:t>
      </w:r>
      <w:bookmarkEnd w:id="111"/>
    </w:p>
    <w:p/>
    <w:p>
      <w:pPr>
        <w:rPr>
          <w:rFonts w:ascii="宋体"/>
          <w:color w:val="000000"/>
          <w:sz w:val="24"/>
          <w:u w:val="single"/>
        </w:rPr>
      </w:pPr>
      <w:r>
        <w:rPr>
          <w:rFonts w:hint="eastAsia" w:ascii="宋体"/>
          <w:color w:val="000000"/>
          <w:sz w:val="24"/>
        </w:rPr>
        <w:t>致：</w:t>
      </w:r>
      <w:r>
        <w:rPr>
          <w:rFonts w:hint="eastAsia" w:ascii="宋体"/>
          <w:sz w:val="24"/>
          <w:u w:val="single"/>
        </w:rPr>
        <w:t xml:space="preserve">                    </w:t>
      </w:r>
      <w:r>
        <w:rPr>
          <w:rFonts w:hint="eastAsia" w:ascii="宋体"/>
          <w:color w:val="000000"/>
          <w:sz w:val="24"/>
          <w:u w:val="single"/>
        </w:rPr>
        <w:t xml:space="preserve">  </w:t>
      </w:r>
    </w:p>
    <w:p>
      <w:pPr>
        <w:rPr>
          <w:rFonts w:ascii="宋体"/>
          <w:color w:val="000000"/>
          <w:sz w:val="24"/>
          <w:u w:val="single"/>
        </w:rPr>
      </w:pPr>
    </w:p>
    <w:p>
      <w:pPr>
        <w:keepNext w:val="0"/>
        <w:keepLines w:val="0"/>
        <w:pageBreakBefore w:val="0"/>
        <w:widowControl w:val="0"/>
        <w:tabs>
          <w:tab w:val="left" w:pos="7560"/>
        </w:tabs>
        <w:kinsoku/>
        <w:wordWrap/>
        <w:overflowPunct/>
        <w:topLinePunct w:val="0"/>
        <w:autoSpaceDE/>
        <w:autoSpaceDN/>
        <w:bidi w:val="0"/>
        <w:adjustRightInd/>
        <w:snapToGrid/>
        <w:ind w:right="-153" w:rightChars="-73" w:firstLine="488"/>
        <w:textAlignment w:val="auto"/>
        <w:rPr>
          <w:rFonts w:ascii="宋体"/>
          <w:color w:val="000000"/>
          <w:sz w:val="24"/>
        </w:rPr>
      </w:pPr>
      <w:r>
        <w:rPr>
          <w:rFonts w:hint="eastAsia" w:ascii="宋体"/>
          <w:color w:val="000000"/>
          <w:sz w:val="24"/>
        </w:rPr>
        <w:t>1、根据你方</w:t>
      </w:r>
      <w:r>
        <w:rPr>
          <w:rFonts w:hint="eastAsia" w:ascii="宋体"/>
          <w:color w:val="000000"/>
          <w:sz w:val="24"/>
          <w:u w:val="single"/>
        </w:rPr>
        <w:t xml:space="preserve"> </w:t>
      </w:r>
      <w:r>
        <w:rPr>
          <w:rFonts w:hint="eastAsia" w:ascii="宋体"/>
          <w:sz w:val="24"/>
          <w:u w:val="single"/>
        </w:rPr>
        <w:t xml:space="preserve"> </w:t>
      </w:r>
      <w:r>
        <w:rPr>
          <w:rFonts w:hint="eastAsia" w:ascii="宋体" w:cs="宋体"/>
          <w:color w:val="000000"/>
          <w:sz w:val="24"/>
          <w:u w:val="single"/>
        </w:rPr>
        <w:t xml:space="preserve">       （项目名称）</w:t>
      </w:r>
      <w:r>
        <w:rPr>
          <w:rFonts w:hint="eastAsia" w:ascii="宋体"/>
          <w:color w:val="000000"/>
          <w:sz w:val="24"/>
          <w:u w:val="single"/>
        </w:rPr>
        <w:t xml:space="preserve"> </w:t>
      </w:r>
      <w:r>
        <w:rPr>
          <w:rFonts w:hint="eastAsia" w:ascii="宋体"/>
          <w:color w:val="000000"/>
          <w:sz w:val="24"/>
        </w:rPr>
        <w:t>采购公告，遵照有关规定，经研究上述比选文件后，我方愿以人民币(大写)</w:t>
      </w:r>
      <w:r>
        <w:rPr>
          <w:rFonts w:hint="eastAsia" w:ascii="宋体"/>
          <w:color w:val="000000"/>
          <w:sz w:val="24"/>
          <w:u w:val="single"/>
        </w:rPr>
        <w:t xml:space="preserve">         </w:t>
      </w:r>
      <w:r>
        <w:rPr>
          <w:rFonts w:hint="eastAsia" w:ascii="宋体"/>
          <w:color w:val="000000"/>
          <w:sz w:val="24"/>
        </w:rPr>
        <w:t>元（</w:t>
      </w:r>
      <w:r>
        <w:rPr>
          <w:rFonts w:hint="eastAsia" w:ascii="宋体"/>
          <w:sz w:val="24"/>
          <w:u w:val="single"/>
        </w:rPr>
        <w:t xml:space="preserve">￥       </w:t>
      </w:r>
      <w:r>
        <w:rPr>
          <w:rFonts w:hint="eastAsia" w:ascii="宋体"/>
          <w:sz w:val="24"/>
        </w:rPr>
        <w:t>元</w:t>
      </w:r>
      <w:r>
        <w:rPr>
          <w:rFonts w:hint="eastAsia" w:ascii="宋体"/>
          <w:color w:val="000000"/>
          <w:sz w:val="24"/>
        </w:rPr>
        <w:t>）的总价承包上述项目。</w:t>
      </w:r>
    </w:p>
    <w:p>
      <w:pPr>
        <w:keepNext w:val="0"/>
        <w:keepLines w:val="0"/>
        <w:pageBreakBefore w:val="0"/>
        <w:widowControl w:val="0"/>
        <w:kinsoku/>
        <w:wordWrap/>
        <w:overflowPunct/>
        <w:topLinePunct w:val="0"/>
        <w:autoSpaceDE/>
        <w:autoSpaceDN/>
        <w:bidi w:val="0"/>
        <w:adjustRightInd/>
        <w:snapToGrid/>
        <w:ind w:firstLine="488"/>
        <w:textAlignment w:val="auto"/>
        <w:rPr>
          <w:rFonts w:ascii="宋体"/>
          <w:color w:val="000000"/>
          <w:sz w:val="24"/>
        </w:rPr>
      </w:pPr>
      <w:r>
        <w:rPr>
          <w:rFonts w:hint="eastAsia" w:ascii="宋体"/>
          <w:color w:val="000000"/>
          <w:sz w:val="24"/>
        </w:rPr>
        <w:t>2、我方已详细审核全部比选文件，包括修改文件（如有时）及有关附件。</w:t>
      </w:r>
    </w:p>
    <w:p>
      <w:pPr>
        <w:keepNext w:val="0"/>
        <w:keepLines w:val="0"/>
        <w:pageBreakBefore w:val="0"/>
        <w:widowControl w:val="0"/>
        <w:kinsoku/>
        <w:wordWrap/>
        <w:overflowPunct/>
        <w:topLinePunct w:val="0"/>
        <w:autoSpaceDE/>
        <w:autoSpaceDN/>
        <w:bidi w:val="0"/>
        <w:adjustRightInd/>
        <w:snapToGrid/>
        <w:ind w:firstLine="488"/>
        <w:textAlignment w:val="auto"/>
        <w:rPr>
          <w:rFonts w:ascii="宋体"/>
          <w:color w:val="000000"/>
          <w:sz w:val="24"/>
        </w:rPr>
      </w:pPr>
      <w:r>
        <w:rPr>
          <w:rFonts w:hint="eastAsia" w:ascii="宋体"/>
          <w:color w:val="000000"/>
          <w:sz w:val="24"/>
        </w:rPr>
        <w:t>3、一旦我方中选，我方保证按合同协议书中规定的服务期内完成并移交相关成果。</w:t>
      </w:r>
    </w:p>
    <w:p>
      <w:pPr>
        <w:keepNext w:val="0"/>
        <w:keepLines w:val="0"/>
        <w:pageBreakBefore w:val="0"/>
        <w:widowControl w:val="0"/>
        <w:kinsoku/>
        <w:wordWrap/>
        <w:overflowPunct/>
        <w:topLinePunct w:val="0"/>
        <w:autoSpaceDE/>
        <w:autoSpaceDN/>
        <w:bidi w:val="0"/>
        <w:adjustRightInd/>
        <w:snapToGrid/>
        <w:ind w:firstLine="488"/>
        <w:textAlignment w:val="auto"/>
        <w:rPr>
          <w:rFonts w:ascii="宋体"/>
          <w:color w:val="000000"/>
          <w:sz w:val="24"/>
        </w:rPr>
      </w:pPr>
      <w:r>
        <w:rPr>
          <w:rFonts w:hint="eastAsia" w:ascii="宋体"/>
          <w:color w:val="000000"/>
          <w:sz w:val="24"/>
        </w:rPr>
        <w:t>4、我方同意所提交的响应文件在比选文件中规定的比选有效期内有效，在此期间内如果中选，我方将受此约束。</w:t>
      </w:r>
    </w:p>
    <w:p>
      <w:pPr>
        <w:keepNext w:val="0"/>
        <w:keepLines w:val="0"/>
        <w:pageBreakBefore w:val="0"/>
        <w:widowControl w:val="0"/>
        <w:kinsoku/>
        <w:wordWrap/>
        <w:overflowPunct/>
        <w:topLinePunct w:val="0"/>
        <w:autoSpaceDE/>
        <w:autoSpaceDN/>
        <w:bidi w:val="0"/>
        <w:adjustRightInd/>
        <w:snapToGrid/>
        <w:ind w:firstLine="488"/>
        <w:textAlignment w:val="auto"/>
        <w:rPr>
          <w:rFonts w:ascii="宋体"/>
          <w:color w:val="000000"/>
          <w:sz w:val="24"/>
        </w:rPr>
      </w:pPr>
      <w:r>
        <w:rPr>
          <w:rFonts w:hint="eastAsia" w:ascii="宋体"/>
          <w:color w:val="000000"/>
          <w:sz w:val="24"/>
        </w:rPr>
        <w:t xml:space="preserve">5、除非另外达成协议并生效，你方的中选通知书和本响应文件将成为约束双方的合同文件的组成部分。                  </w:t>
      </w:r>
    </w:p>
    <w:p>
      <w:pPr>
        <w:rPr>
          <w:rFonts w:ascii="宋体"/>
          <w:color w:val="000000"/>
          <w:sz w:val="24"/>
        </w:rPr>
      </w:pPr>
    </w:p>
    <w:p>
      <w:pPr>
        <w:spacing w:line="360" w:lineRule="auto"/>
        <w:ind w:left="1000"/>
        <w:rPr>
          <w:rFonts w:ascii="宋体"/>
          <w:color w:val="000000"/>
          <w:sz w:val="24"/>
        </w:rPr>
      </w:pPr>
    </w:p>
    <w:p>
      <w:pPr>
        <w:spacing w:line="360" w:lineRule="auto"/>
        <w:ind w:left="1000"/>
        <w:rPr>
          <w:rFonts w:ascii="宋体"/>
          <w:color w:val="000000"/>
          <w:sz w:val="24"/>
        </w:rPr>
      </w:pPr>
    </w:p>
    <w:p>
      <w:pPr>
        <w:ind w:firstLine="1837" w:firstLineChars="875"/>
        <w:rPr>
          <w:rFonts w:ascii="宋体"/>
          <w:color w:val="000000"/>
          <w:sz w:val="24"/>
          <w:u w:val="single"/>
        </w:rPr>
      </w:pPr>
      <w:r>
        <w:t xml:space="preserve">  </w:t>
      </w:r>
      <w:r>
        <w:rPr>
          <w:rFonts w:hint="eastAsia"/>
          <w:lang w:val="en-US" w:eastAsia="zh-CN"/>
        </w:rPr>
        <w:t xml:space="preserve"> </w:t>
      </w:r>
      <w:r>
        <w:rPr>
          <w:rFonts w:hint="eastAsia" w:ascii="宋体"/>
          <w:color w:val="000000"/>
          <w:sz w:val="24"/>
        </w:rPr>
        <w:t>供应商：</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 xml:space="preserve">（盖章）   </w:t>
      </w:r>
    </w:p>
    <w:p>
      <w:pPr>
        <w:ind w:firstLine="2160" w:firstLineChars="900"/>
        <w:rPr>
          <w:rFonts w:ascii="宋体"/>
          <w:color w:val="000000"/>
          <w:sz w:val="24"/>
          <w:u w:val="single"/>
        </w:rPr>
      </w:pPr>
      <w:r>
        <w:rPr>
          <w:rFonts w:hint="eastAsia" w:ascii="宋体"/>
          <w:color w:val="000000"/>
          <w:sz w:val="24"/>
        </w:rPr>
        <w:t>单位地址：</w:t>
      </w:r>
      <w:r>
        <w:rPr>
          <w:rFonts w:hint="eastAsia" w:ascii="宋体"/>
          <w:color w:val="000000"/>
          <w:sz w:val="24"/>
          <w:u w:val="single"/>
        </w:rPr>
        <w:tab/>
      </w:r>
      <w:r>
        <w:rPr>
          <w:rFonts w:hint="eastAsia" w:ascii="宋体"/>
          <w:color w:val="000000"/>
          <w:sz w:val="24"/>
          <w:u w:val="single"/>
        </w:rPr>
        <w:t xml:space="preserve">                </w:t>
      </w:r>
    </w:p>
    <w:p>
      <w:pPr>
        <w:ind w:firstLine="2160" w:firstLineChars="900"/>
        <w:rPr>
          <w:rFonts w:ascii="宋体"/>
          <w:color w:val="000000"/>
          <w:sz w:val="24"/>
        </w:rPr>
      </w:pPr>
      <w:r>
        <w:rPr>
          <w:rFonts w:hint="eastAsia" w:ascii="宋体"/>
          <w:color w:val="000000"/>
          <w:sz w:val="24"/>
        </w:rPr>
        <w:t>电话：</w:t>
      </w:r>
      <w:r>
        <w:rPr>
          <w:rFonts w:hint="eastAsia" w:ascii="宋体"/>
          <w:color w:val="000000"/>
          <w:sz w:val="24"/>
          <w:u w:val="single"/>
        </w:rPr>
        <w:tab/>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p>
    <w:p>
      <w:pPr>
        <w:ind w:firstLine="2160" w:firstLineChars="900"/>
        <w:rPr>
          <w:rFonts w:ascii="宋体"/>
          <w:color w:val="000000"/>
          <w:sz w:val="24"/>
          <w:u w:val="single"/>
        </w:rPr>
      </w:pPr>
      <w:r>
        <w:rPr>
          <w:rFonts w:hint="eastAsia" w:ascii="宋体"/>
          <w:color w:val="000000"/>
          <w:sz w:val="24"/>
        </w:rPr>
        <w:t>传真：</w:t>
      </w:r>
      <w:r>
        <w:rPr>
          <w:rFonts w:hint="eastAsia" w:ascii="宋体"/>
          <w:color w:val="000000"/>
          <w:sz w:val="24"/>
          <w:u w:val="single"/>
        </w:rPr>
        <w:tab/>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p>
    <w:p>
      <w:pPr>
        <w:ind w:firstLine="2160" w:firstLineChars="900"/>
        <w:rPr>
          <w:rFonts w:hint="eastAsia" w:ascii="宋体"/>
          <w:color w:val="000000"/>
          <w:sz w:val="24"/>
        </w:rPr>
      </w:pPr>
      <w:r>
        <w:rPr>
          <w:rFonts w:hint="eastAsia" w:ascii="宋体"/>
          <w:color w:val="000000"/>
          <w:sz w:val="24"/>
        </w:rPr>
        <w:t>日期：</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p>
      <w:pPr>
        <w:rPr>
          <w:rFonts w:hint="eastAsia" w:ascii="宋体"/>
          <w:color w:val="000000"/>
          <w:sz w:val="24"/>
        </w:rPr>
      </w:pPr>
      <w:r>
        <w:rPr>
          <w:rFonts w:hint="eastAsia" w:ascii="宋体"/>
          <w:color w:val="000000"/>
          <w:sz w:val="24"/>
        </w:rPr>
        <w:br w:type="page"/>
      </w:r>
    </w:p>
    <w:p>
      <w:pPr>
        <w:pStyle w:val="6"/>
        <w:numPr>
          <w:ilvl w:val="0"/>
          <w:numId w:val="0"/>
        </w:numPr>
        <w:jc w:val="both"/>
        <w:rPr>
          <w:rFonts w:hint="eastAsia" w:eastAsia="宋体"/>
          <w:color w:val="000000"/>
          <w:lang w:val="en-US" w:eastAsia="zh-CN"/>
        </w:rPr>
      </w:pPr>
      <w:r>
        <w:rPr>
          <w:rFonts w:hint="eastAsia" w:eastAsia="宋体"/>
          <w:color w:val="000000"/>
          <w:lang w:val="en-US" w:eastAsia="zh-CN"/>
        </w:rPr>
        <w:t>2.2明细报价表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312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相关信息</w:t>
            </w: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12" w:name="_Toc25666"/>
            <w:bookmarkStart w:id="113" w:name="_Toc19642"/>
            <w:bookmarkStart w:id="114" w:name="_Toc5846"/>
            <w:bookmarkStart w:id="115" w:name="_Toc1492"/>
            <w:bookmarkStart w:id="116" w:name="_Toc8594"/>
            <w:bookmarkStart w:id="117" w:name="_Toc9895"/>
            <w:r>
              <w:rPr>
                <w:rFonts w:hint="eastAsia" w:ascii="宋体" w:hAnsi="宋体" w:eastAsia="宋体" w:cs="宋体"/>
                <w:sz w:val="24"/>
                <w:szCs w:val="24"/>
                <w:highlight w:val="none"/>
              </w:rPr>
              <w:t>1</w:t>
            </w:r>
            <w:bookmarkEnd w:id="112"/>
            <w:bookmarkEnd w:id="113"/>
            <w:bookmarkEnd w:id="114"/>
            <w:bookmarkEnd w:id="115"/>
            <w:bookmarkEnd w:id="116"/>
            <w:bookmarkEnd w:id="117"/>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18" w:name="_Toc23060"/>
            <w:bookmarkStart w:id="119" w:name="_Toc30115"/>
            <w:bookmarkStart w:id="120" w:name="_Toc21310"/>
            <w:bookmarkStart w:id="121" w:name="_Toc29137"/>
            <w:bookmarkStart w:id="122" w:name="_Toc14384"/>
            <w:bookmarkStart w:id="123" w:name="_Toc5895"/>
            <w:r>
              <w:rPr>
                <w:rFonts w:hint="eastAsia" w:ascii="宋体" w:hAnsi="宋体" w:eastAsia="宋体" w:cs="宋体"/>
                <w:sz w:val="24"/>
                <w:szCs w:val="24"/>
                <w:highlight w:val="none"/>
              </w:rPr>
              <w:t>2</w:t>
            </w:r>
            <w:bookmarkEnd w:id="118"/>
            <w:bookmarkEnd w:id="119"/>
            <w:bookmarkEnd w:id="120"/>
            <w:bookmarkEnd w:id="121"/>
            <w:bookmarkEnd w:id="122"/>
            <w:bookmarkEnd w:id="123"/>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24" w:name="_Toc14621"/>
            <w:bookmarkStart w:id="125" w:name="_Toc19815"/>
            <w:bookmarkStart w:id="126" w:name="_Toc20479"/>
            <w:bookmarkStart w:id="127" w:name="_Toc27152"/>
            <w:bookmarkStart w:id="128" w:name="_Toc17777"/>
            <w:bookmarkStart w:id="129" w:name="_Toc9932"/>
            <w:r>
              <w:rPr>
                <w:rFonts w:hint="eastAsia" w:ascii="宋体" w:hAnsi="宋体" w:eastAsia="宋体" w:cs="宋体"/>
                <w:sz w:val="24"/>
                <w:szCs w:val="24"/>
                <w:highlight w:val="none"/>
              </w:rPr>
              <w:t>3</w:t>
            </w:r>
            <w:bookmarkEnd w:id="124"/>
            <w:bookmarkEnd w:id="125"/>
            <w:bookmarkEnd w:id="126"/>
            <w:bookmarkEnd w:id="127"/>
            <w:bookmarkEnd w:id="128"/>
            <w:bookmarkEnd w:id="129"/>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30" w:name="_Toc29740"/>
            <w:bookmarkStart w:id="131" w:name="_Toc21956"/>
            <w:bookmarkStart w:id="132" w:name="_Toc32279"/>
            <w:bookmarkStart w:id="133" w:name="_Toc31525"/>
            <w:bookmarkStart w:id="134" w:name="_Toc7563"/>
            <w:bookmarkStart w:id="135" w:name="_Toc6079"/>
            <w:r>
              <w:rPr>
                <w:rFonts w:hint="eastAsia" w:ascii="宋体" w:hAnsi="宋体" w:eastAsia="宋体" w:cs="宋体"/>
                <w:sz w:val="24"/>
                <w:szCs w:val="24"/>
                <w:highlight w:val="none"/>
              </w:rPr>
              <w:t>4</w:t>
            </w:r>
            <w:bookmarkEnd w:id="130"/>
            <w:bookmarkEnd w:id="131"/>
            <w:bookmarkEnd w:id="132"/>
            <w:bookmarkEnd w:id="133"/>
            <w:bookmarkEnd w:id="134"/>
            <w:bookmarkEnd w:id="135"/>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36" w:name="_Toc32765"/>
            <w:bookmarkStart w:id="137" w:name="_Toc12884"/>
            <w:bookmarkStart w:id="138" w:name="_Toc8163"/>
            <w:bookmarkStart w:id="139" w:name="_Toc810"/>
            <w:bookmarkStart w:id="140" w:name="_Toc2395"/>
            <w:bookmarkStart w:id="141" w:name="_Toc1420"/>
            <w:r>
              <w:rPr>
                <w:rFonts w:hint="eastAsia" w:ascii="宋体" w:hAnsi="宋体" w:eastAsia="宋体" w:cs="宋体"/>
                <w:sz w:val="24"/>
                <w:szCs w:val="24"/>
                <w:highlight w:val="none"/>
              </w:rPr>
              <w:t>5</w:t>
            </w:r>
            <w:bookmarkEnd w:id="136"/>
            <w:bookmarkEnd w:id="137"/>
            <w:bookmarkEnd w:id="138"/>
            <w:bookmarkEnd w:id="139"/>
            <w:bookmarkEnd w:id="140"/>
            <w:bookmarkEnd w:id="141"/>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42" w:name="_Toc17179"/>
            <w:bookmarkStart w:id="143" w:name="_Toc5779"/>
            <w:bookmarkStart w:id="144" w:name="_Toc15725"/>
            <w:bookmarkStart w:id="145" w:name="_Toc32682"/>
            <w:bookmarkStart w:id="146" w:name="_Toc30938"/>
            <w:bookmarkStart w:id="147" w:name="_Toc24962"/>
            <w:r>
              <w:rPr>
                <w:rFonts w:hint="eastAsia" w:ascii="宋体" w:hAnsi="宋体" w:eastAsia="宋体" w:cs="宋体"/>
                <w:sz w:val="24"/>
                <w:szCs w:val="24"/>
                <w:highlight w:val="none"/>
              </w:rPr>
              <w:t>6</w:t>
            </w:r>
            <w:bookmarkEnd w:id="142"/>
            <w:bookmarkEnd w:id="143"/>
            <w:bookmarkEnd w:id="144"/>
            <w:bookmarkEnd w:id="145"/>
            <w:bookmarkEnd w:id="146"/>
            <w:bookmarkEnd w:id="147"/>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48" w:name="_Toc8932"/>
            <w:bookmarkStart w:id="149" w:name="_Toc27826"/>
            <w:bookmarkStart w:id="150" w:name="_Toc32027"/>
            <w:bookmarkStart w:id="151" w:name="_Toc24181"/>
            <w:bookmarkStart w:id="152" w:name="_Toc9972"/>
            <w:bookmarkStart w:id="153" w:name="_Toc25120"/>
            <w:r>
              <w:rPr>
                <w:rFonts w:hint="eastAsia" w:ascii="宋体" w:hAnsi="宋体" w:eastAsia="宋体" w:cs="宋体"/>
                <w:sz w:val="24"/>
                <w:szCs w:val="24"/>
                <w:highlight w:val="none"/>
              </w:rPr>
              <w:t>7</w:t>
            </w:r>
            <w:bookmarkEnd w:id="148"/>
            <w:bookmarkEnd w:id="149"/>
            <w:bookmarkEnd w:id="150"/>
            <w:bookmarkEnd w:id="151"/>
            <w:bookmarkEnd w:id="152"/>
            <w:bookmarkEnd w:id="153"/>
          </w:p>
        </w:tc>
        <w:tc>
          <w:tcPr>
            <w:tcW w:w="1557" w:type="dxa"/>
            <w:noWrap w:val="0"/>
            <w:vAlign w:val="center"/>
          </w:tcPr>
          <w:p>
            <w:pPr>
              <w:bidi w:val="0"/>
              <w:jc w:val="center"/>
              <w:rPr>
                <w:rFonts w:hint="eastAsia" w:ascii="宋体" w:hAnsi="宋体" w:eastAsia="宋体" w:cs="宋体"/>
                <w:sz w:val="24"/>
                <w:szCs w:val="24"/>
                <w:highlight w:val="none"/>
              </w:rPr>
            </w:pP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54" w:name="_Toc3798"/>
            <w:bookmarkStart w:id="155" w:name="_Toc23904"/>
            <w:bookmarkStart w:id="156" w:name="_Toc12711"/>
            <w:bookmarkStart w:id="157" w:name="_Toc10686"/>
            <w:bookmarkStart w:id="158" w:name="_Toc24919"/>
            <w:bookmarkStart w:id="159" w:name="_Toc16876"/>
            <w:r>
              <w:rPr>
                <w:rFonts w:hint="eastAsia" w:ascii="宋体" w:hAnsi="宋体" w:eastAsia="宋体" w:cs="宋体"/>
                <w:sz w:val="24"/>
                <w:szCs w:val="24"/>
                <w:highlight w:val="none"/>
              </w:rPr>
              <w:t>8</w:t>
            </w:r>
            <w:bookmarkEnd w:id="154"/>
            <w:bookmarkEnd w:id="155"/>
            <w:bookmarkEnd w:id="156"/>
            <w:bookmarkEnd w:id="157"/>
            <w:bookmarkEnd w:id="158"/>
            <w:bookmarkEnd w:id="159"/>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人工费</w:t>
            </w: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60" w:name="_Toc23220"/>
            <w:bookmarkStart w:id="161" w:name="_Toc8628"/>
            <w:bookmarkStart w:id="162" w:name="_Toc16819"/>
            <w:bookmarkStart w:id="163" w:name="_Toc12342"/>
            <w:bookmarkStart w:id="164" w:name="_Toc2408"/>
            <w:bookmarkStart w:id="165" w:name="_Toc52"/>
            <w:r>
              <w:rPr>
                <w:rFonts w:hint="eastAsia" w:ascii="宋体" w:hAnsi="宋体" w:eastAsia="宋体" w:cs="宋体"/>
                <w:sz w:val="24"/>
                <w:szCs w:val="24"/>
                <w:highlight w:val="none"/>
              </w:rPr>
              <w:t>9</w:t>
            </w:r>
            <w:bookmarkEnd w:id="160"/>
            <w:bookmarkEnd w:id="161"/>
            <w:bookmarkEnd w:id="162"/>
            <w:bookmarkEnd w:id="163"/>
            <w:bookmarkEnd w:id="164"/>
            <w:bookmarkEnd w:id="165"/>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运输费</w:t>
            </w: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66" w:name="_Toc14669"/>
            <w:bookmarkStart w:id="167" w:name="_Toc30098"/>
            <w:bookmarkStart w:id="168" w:name="_Toc29230"/>
            <w:bookmarkStart w:id="169" w:name="_Toc29021"/>
            <w:bookmarkStart w:id="170" w:name="_Toc28682"/>
            <w:bookmarkStart w:id="171" w:name="_Toc9348"/>
            <w:r>
              <w:rPr>
                <w:rFonts w:hint="eastAsia" w:ascii="宋体" w:hAnsi="宋体" w:eastAsia="宋体" w:cs="宋体"/>
                <w:sz w:val="24"/>
                <w:szCs w:val="24"/>
                <w:highlight w:val="none"/>
              </w:rPr>
              <w:t>10</w:t>
            </w:r>
            <w:bookmarkEnd w:id="166"/>
            <w:bookmarkEnd w:id="167"/>
            <w:bookmarkEnd w:id="168"/>
            <w:bookmarkEnd w:id="169"/>
            <w:bookmarkEnd w:id="170"/>
            <w:bookmarkEnd w:id="171"/>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其他费用</w:t>
            </w: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72" w:name="_Toc26643"/>
            <w:bookmarkStart w:id="173" w:name="_Toc18512"/>
            <w:bookmarkStart w:id="174" w:name="_Toc22376"/>
            <w:bookmarkStart w:id="175" w:name="_Toc11994"/>
            <w:bookmarkStart w:id="176" w:name="_Toc22784"/>
            <w:bookmarkStart w:id="177" w:name="_Toc3108"/>
            <w:r>
              <w:rPr>
                <w:rFonts w:hint="eastAsia" w:ascii="宋体" w:hAnsi="宋体" w:eastAsia="宋体" w:cs="宋体"/>
                <w:sz w:val="24"/>
                <w:szCs w:val="24"/>
                <w:highlight w:val="none"/>
              </w:rPr>
              <w:t>11</w:t>
            </w:r>
            <w:bookmarkEnd w:id="172"/>
            <w:bookmarkEnd w:id="173"/>
            <w:bookmarkEnd w:id="174"/>
            <w:bookmarkEnd w:id="175"/>
            <w:bookmarkEnd w:id="176"/>
            <w:bookmarkEnd w:id="177"/>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27"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bidi w:val="0"/>
              <w:jc w:val="center"/>
              <w:rPr>
                <w:rFonts w:hint="eastAsia" w:ascii="宋体" w:hAnsi="宋体" w:eastAsia="宋体" w:cs="宋体"/>
                <w:sz w:val="24"/>
                <w:szCs w:val="24"/>
                <w:highlight w:val="none"/>
              </w:rPr>
            </w:pPr>
          </w:p>
        </w:tc>
        <w:tc>
          <w:tcPr>
            <w:tcW w:w="1235" w:type="dxa"/>
            <w:noWrap w:val="0"/>
            <w:vAlign w:val="center"/>
          </w:tcPr>
          <w:p>
            <w:pPr>
              <w:bidi w:val="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bidi w:val="0"/>
              <w:jc w:val="center"/>
              <w:rPr>
                <w:rFonts w:hint="eastAsia" w:ascii="宋体" w:hAnsi="宋体" w:eastAsia="宋体" w:cs="宋体"/>
                <w:sz w:val="24"/>
                <w:szCs w:val="24"/>
                <w:highlight w:val="none"/>
              </w:rPr>
            </w:pPr>
            <w:bookmarkStart w:id="178" w:name="_Toc13451"/>
            <w:bookmarkStart w:id="179" w:name="_Toc4358"/>
            <w:bookmarkStart w:id="180" w:name="_Toc411"/>
            <w:bookmarkStart w:id="181" w:name="_Toc30935"/>
            <w:bookmarkStart w:id="182" w:name="_Toc13556"/>
            <w:bookmarkStart w:id="183" w:name="_Toc13471"/>
            <w:r>
              <w:rPr>
                <w:rFonts w:hint="eastAsia" w:ascii="宋体" w:hAnsi="宋体" w:eastAsia="宋体" w:cs="宋体"/>
                <w:sz w:val="24"/>
                <w:szCs w:val="24"/>
                <w:highlight w:val="none"/>
              </w:rPr>
              <w:t>12</w:t>
            </w:r>
            <w:bookmarkEnd w:id="178"/>
            <w:bookmarkEnd w:id="179"/>
            <w:bookmarkEnd w:id="180"/>
            <w:bookmarkEnd w:id="181"/>
            <w:bookmarkEnd w:id="182"/>
            <w:bookmarkEnd w:id="183"/>
          </w:p>
        </w:tc>
        <w:tc>
          <w:tcPr>
            <w:tcW w:w="1557" w:type="dxa"/>
            <w:noWrap w:val="0"/>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总计</w:t>
            </w:r>
          </w:p>
        </w:tc>
        <w:tc>
          <w:tcPr>
            <w:tcW w:w="6832" w:type="dxa"/>
            <w:gridSpan w:val="4"/>
            <w:noWrap w:val="0"/>
            <w:vAlign w:val="center"/>
          </w:tcPr>
          <w:p>
            <w:pPr>
              <w:bidi w:val="0"/>
              <w:jc w:val="center"/>
              <w:rPr>
                <w:rFonts w:hint="eastAsia" w:ascii="宋体" w:hAnsi="宋体" w:eastAsia="宋体" w:cs="宋体"/>
                <w:sz w:val="24"/>
                <w:szCs w:val="24"/>
                <w:highlight w:val="none"/>
              </w:rPr>
            </w:pPr>
          </w:p>
        </w:tc>
      </w:tr>
    </w:tbl>
    <w:p>
      <w:pPr>
        <w:spacing w:line="360" w:lineRule="auto"/>
        <w:ind w:firstLine="481" w:firstLineChars="200"/>
        <w:rPr>
          <w:rFonts w:ascii="宋体"/>
          <w:b/>
          <w:bCs/>
          <w:sz w:val="24"/>
        </w:rPr>
      </w:pPr>
      <w:r>
        <w:rPr>
          <w:rFonts w:hint="eastAsia" w:ascii="宋体"/>
          <w:b/>
          <w:bCs/>
          <w:sz w:val="24"/>
        </w:rPr>
        <w:t xml:space="preserve">       </w:t>
      </w:r>
    </w:p>
    <w:p>
      <w:pPr>
        <w:spacing w:line="360" w:lineRule="auto"/>
        <w:ind w:left="5639" w:leftChars="228" w:hanging="5160" w:hangingChars="2150"/>
        <w:rPr>
          <w:rFonts w:ascii="宋体"/>
          <w:sz w:val="24"/>
        </w:rPr>
      </w:pPr>
      <w:r>
        <w:rPr>
          <w:rFonts w:hint="eastAsia" w:ascii="宋体"/>
          <w:sz w:val="24"/>
        </w:rPr>
        <w:t xml:space="preserve">                                                                                   供应商（公章）：                                                                                       年     月   日</w:t>
      </w:r>
    </w:p>
    <w:p>
      <w:pPr>
        <w:pStyle w:val="2"/>
      </w:pPr>
    </w:p>
    <w:p>
      <w:pPr>
        <w:pStyle w:val="3"/>
      </w:pPr>
    </w:p>
    <w:p>
      <w:pPr>
        <w:pStyle w:val="3"/>
        <w:ind w:left="0" w:firstLine="0"/>
      </w:pPr>
    </w:p>
    <w:p>
      <w:pPr>
        <w:pStyle w:val="3"/>
        <w:ind w:left="0" w:firstLine="0"/>
      </w:pPr>
    </w:p>
    <w:p>
      <w:pPr>
        <w:rPr>
          <w:rFonts w:hint="eastAsia" w:ascii="宋体" w:hAnsi="宋体" w:cs="宋体"/>
          <w:sz w:val="28"/>
          <w:szCs w:val="28"/>
        </w:rPr>
      </w:pPr>
      <w:bookmarkStart w:id="184" w:name="_Toc27183"/>
      <w:r>
        <w:rPr>
          <w:rFonts w:hint="eastAsia" w:ascii="宋体" w:hAnsi="宋体" w:cs="宋体"/>
          <w:sz w:val="28"/>
          <w:szCs w:val="28"/>
        </w:rPr>
        <w:br w:type="page"/>
      </w:r>
    </w:p>
    <w:p>
      <w:pPr>
        <w:numPr>
          <w:ilvl w:val="0"/>
          <w:numId w:val="0"/>
        </w:numPr>
        <w:adjustRightInd w:val="0"/>
        <w:snapToGrid w:val="0"/>
        <w:spacing w:line="580" w:lineRule="exact"/>
        <w:outlineLvl w:val="1"/>
        <w:rPr>
          <w:sz w:val="28"/>
          <w:szCs w:val="28"/>
        </w:rPr>
      </w:pPr>
      <w:r>
        <w:rPr>
          <w:rFonts w:hint="eastAsia" w:eastAsia="宋体"/>
          <w:sz w:val="28"/>
          <w:szCs w:val="28"/>
          <w:lang w:val="en-US" w:eastAsia="zh-CN"/>
        </w:rPr>
        <w:t>3.</w:t>
      </w:r>
      <w:bookmarkEnd w:id="184"/>
      <w:r>
        <w:rPr>
          <w:rFonts w:hint="eastAsia" w:eastAsia="宋体"/>
          <w:sz w:val="28"/>
          <w:szCs w:val="28"/>
          <w:lang w:val="en-US" w:eastAsia="zh-CN"/>
        </w:rPr>
        <w:t>类似</w:t>
      </w:r>
      <w:r>
        <w:rPr>
          <w:rFonts w:hint="eastAsia"/>
          <w:sz w:val="28"/>
          <w:szCs w:val="28"/>
          <w:lang w:val="en-US" w:eastAsia="zh-CN"/>
        </w:rPr>
        <w:t>项目</w:t>
      </w:r>
      <w:r>
        <w:rPr>
          <w:rFonts w:hint="eastAsia" w:eastAsia="宋体"/>
          <w:sz w:val="28"/>
          <w:szCs w:val="28"/>
          <w:lang w:val="en-US" w:eastAsia="zh-CN"/>
        </w:rPr>
        <w:t>相关证明及案例图</w:t>
      </w:r>
    </w:p>
    <w:p>
      <w:pPr>
        <w:rPr>
          <w:rFonts w:hint="eastAsia" w:eastAsia="宋体"/>
          <w:sz w:val="28"/>
          <w:szCs w:val="28"/>
          <w:lang w:val="en-US" w:eastAsia="zh-CN"/>
        </w:rPr>
      </w:pPr>
      <w:bookmarkStart w:id="185" w:name="_Toc120"/>
      <w:r>
        <w:rPr>
          <w:rFonts w:hint="eastAsia" w:eastAsia="宋体"/>
          <w:sz w:val="28"/>
          <w:szCs w:val="28"/>
          <w:lang w:val="en-US" w:eastAsia="zh-CN"/>
        </w:rPr>
        <w:br w:type="page"/>
      </w:r>
    </w:p>
    <w:p>
      <w:pPr>
        <w:numPr>
          <w:ilvl w:val="0"/>
          <w:numId w:val="0"/>
        </w:numPr>
        <w:adjustRightInd w:val="0"/>
        <w:snapToGrid w:val="0"/>
        <w:spacing w:line="580" w:lineRule="exact"/>
        <w:outlineLvl w:val="1"/>
        <w:rPr>
          <w:rFonts w:hint="default"/>
          <w:lang w:val="en-US"/>
        </w:rPr>
      </w:pPr>
      <w:r>
        <w:rPr>
          <w:rFonts w:hint="eastAsia" w:eastAsia="宋体"/>
          <w:sz w:val="28"/>
          <w:szCs w:val="28"/>
          <w:lang w:val="en-US" w:eastAsia="zh-CN"/>
        </w:rPr>
        <w:t>4.</w:t>
      </w:r>
      <w:r>
        <w:rPr>
          <w:rFonts w:hint="eastAsia"/>
          <w:sz w:val="28"/>
          <w:szCs w:val="28"/>
          <w:lang w:val="en-US" w:eastAsia="zh-CN"/>
        </w:rPr>
        <w:t>项目</w:t>
      </w:r>
      <w:r>
        <w:rPr>
          <w:rFonts w:hint="eastAsia" w:eastAsia="宋体"/>
          <w:sz w:val="28"/>
          <w:szCs w:val="28"/>
          <w:lang w:val="en-US" w:eastAsia="zh-CN"/>
        </w:rPr>
        <w:t>服务方案</w:t>
      </w:r>
      <w:bookmarkEnd w:id="185"/>
    </w:p>
    <w:p>
      <w:pPr>
        <w:rPr>
          <w:rFonts w:hint="eastAsia" w:eastAsia="宋体"/>
          <w:sz w:val="28"/>
          <w:szCs w:val="28"/>
          <w:lang w:val="en-US" w:eastAsia="zh-CN"/>
        </w:rPr>
      </w:pPr>
      <w:bookmarkStart w:id="186" w:name="_Toc17390"/>
      <w:r>
        <w:rPr>
          <w:rFonts w:hint="eastAsia" w:eastAsia="宋体"/>
          <w:sz w:val="28"/>
          <w:szCs w:val="28"/>
          <w:lang w:val="en-US" w:eastAsia="zh-CN"/>
        </w:rPr>
        <w:br w:type="page"/>
      </w:r>
    </w:p>
    <w:p>
      <w:pPr>
        <w:numPr>
          <w:ilvl w:val="0"/>
          <w:numId w:val="0"/>
        </w:numPr>
        <w:adjustRightInd w:val="0"/>
        <w:snapToGrid w:val="0"/>
        <w:spacing w:line="580" w:lineRule="exact"/>
        <w:outlineLvl w:val="1"/>
        <w:rPr>
          <w:rFonts w:hint="eastAsia" w:eastAsia="宋体"/>
          <w:sz w:val="28"/>
          <w:szCs w:val="28"/>
          <w:lang w:val="en-US" w:eastAsia="zh-CN"/>
        </w:rPr>
      </w:pPr>
      <w:r>
        <w:rPr>
          <w:rFonts w:hint="eastAsia" w:eastAsia="宋体"/>
          <w:sz w:val="28"/>
          <w:szCs w:val="28"/>
          <w:lang w:val="en-US" w:eastAsia="zh-CN"/>
        </w:rPr>
        <w:t>5.书面声明（格式）</w:t>
      </w:r>
      <w:bookmarkEnd w:id="186"/>
    </w:p>
    <w:p>
      <w:pPr>
        <w:pStyle w:val="2"/>
        <w:rPr>
          <w:sz w:val="24"/>
          <w:szCs w:val="24"/>
        </w:rPr>
      </w:pPr>
    </w:p>
    <w:p>
      <w:pPr>
        <w:spacing w:line="360" w:lineRule="auto"/>
        <w:jc w:val="left"/>
        <w:rPr>
          <w:sz w:val="24"/>
          <w:szCs w:val="24"/>
        </w:rPr>
      </w:pPr>
      <w:r>
        <w:rPr>
          <w:rFonts w:hint="eastAsia"/>
          <w:sz w:val="24"/>
          <w:szCs w:val="24"/>
        </w:rPr>
        <w:t xml:space="preserve">项目名称： </w:t>
      </w:r>
      <w:r>
        <w:rPr>
          <w:rFonts w:hint="eastAsia"/>
          <w:color w:val="000000"/>
          <w:sz w:val="24"/>
          <w:szCs w:val="24"/>
        </w:rPr>
        <w:t xml:space="preserve"> </w:t>
      </w:r>
      <w:r>
        <w:rPr>
          <w:rFonts w:hint="eastAsia" w:ascii="宋体" w:cs="宋体"/>
          <w:color w:val="000000"/>
          <w:sz w:val="24"/>
          <w:szCs w:val="24"/>
          <w:u w:val="single"/>
        </w:rPr>
        <w:t xml:space="preserve">   </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 xml:space="preserve">   </w:t>
      </w:r>
      <w:r>
        <w:rPr>
          <w:rFonts w:hint="eastAsia"/>
          <w:color w:val="000000"/>
          <w:sz w:val="24"/>
          <w:szCs w:val="24"/>
        </w:rPr>
        <w:t xml:space="preserve"> 项目 </w:t>
      </w:r>
      <w:r>
        <w:rPr>
          <w:rFonts w:hint="eastAsia"/>
          <w:sz w:val="24"/>
          <w:szCs w:val="24"/>
        </w:rPr>
        <w:t xml:space="preserve">                                          </w:t>
      </w:r>
    </w:p>
    <w:p>
      <w:pPr>
        <w:spacing w:line="360" w:lineRule="auto"/>
        <w:jc w:val="left"/>
        <w:rPr>
          <w:sz w:val="24"/>
          <w:szCs w:val="24"/>
        </w:rPr>
      </w:pPr>
    </w:p>
    <w:p>
      <w:pPr>
        <w:spacing w:line="360" w:lineRule="auto"/>
        <w:jc w:val="left"/>
        <w:rPr>
          <w:sz w:val="24"/>
          <w:szCs w:val="24"/>
        </w:rPr>
      </w:pPr>
      <w:r>
        <w:rPr>
          <w:rFonts w:hint="eastAsia"/>
          <w:sz w:val="24"/>
          <w:szCs w:val="24"/>
        </w:rPr>
        <w:t>致：</w:t>
      </w:r>
      <w:r>
        <w:rPr>
          <w:rFonts w:hint="eastAsia"/>
          <w:sz w:val="24"/>
          <w:szCs w:val="24"/>
          <w:u w:val="single"/>
        </w:rPr>
        <w:t xml:space="preserve"> </w:t>
      </w:r>
      <w:r>
        <w:rPr>
          <w:sz w:val="24"/>
          <w:szCs w:val="24"/>
          <w:u w:val="single"/>
        </w:rPr>
        <w:t xml:space="preserve"> </w:t>
      </w:r>
      <w:r>
        <w:rPr>
          <w:rFonts w:hint="eastAsia" w:ascii="宋体"/>
          <w:sz w:val="24"/>
          <w:szCs w:val="24"/>
          <w:u w:val="single"/>
        </w:rPr>
        <w:t xml:space="preserve"> </w:t>
      </w:r>
      <w:r>
        <w:rPr>
          <w:rFonts w:hint="eastAsia" w:ascii="宋体" w:cs="宋体"/>
          <w:sz w:val="24"/>
          <w:szCs w:val="24"/>
          <w:u w:val="single"/>
        </w:rPr>
        <w:t xml:space="preserve"> （采购人名称）</w:t>
      </w:r>
      <w:r>
        <w:rPr>
          <w:rFonts w:hint="eastAsia" w:ascii="宋体"/>
          <w:sz w:val="24"/>
          <w:szCs w:val="24"/>
          <w:u w:val="single"/>
        </w:rPr>
        <w:t xml:space="preserve">     </w:t>
      </w:r>
      <w:r>
        <w:rPr>
          <w:rFonts w:hint="eastAsia"/>
          <w:sz w:val="24"/>
          <w:szCs w:val="24"/>
        </w:rPr>
        <w:t xml:space="preserve"> ：</w:t>
      </w:r>
    </w:p>
    <w:p>
      <w:pPr>
        <w:spacing w:line="360" w:lineRule="auto"/>
        <w:jc w:val="left"/>
        <w:rPr>
          <w:sz w:val="24"/>
          <w:szCs w:val="24"/>
        </w:rPr>
      </w:pPr>
      <w:r>
        <w:rPr>
          <w:rFonts w:hint="eastAsia"/>
          <w:sz w:val="24"/>
          <w:szCs w:val="24"/>
        </w:rPr>
        <w:t xml:space="preserve">     </w:t>
      </w:r>
      <w:r>
        <w:rPr>
          <w:sz w:val="24"/>
          <w:szCs w:val="24"/>
        </w:rPr>
        <w:t xml:space="preserve"> </w:t>
      </w:r>
      <w:r>
        <w:rPr>
          <w:sz w:val="24"/>
          <w:szCs w:val="24"/>
          <w:u w:val="single"/>
        </w:rPr>
        <w:t xml:space="preserve"> </w:t>
      </w:r>
      <w:r>
        <w:rPr>
          <w:rFonts w:hint="eastAsia"/>
          <w:sz w:val="24"/>
          <w:szCs w:val="24"/>
          <w:u w:val="single"/>
        </w:rPr>
        <w:t>（供应商名称）</w:t>
      </w:r>
      <w:r>
        <w:rPr>
          <w:sz w:val="24"/>
          <w:szCs w:val="24"/>
          <w:u w:val="single"/>
        </w:rPr>
        <w:t xml:space="preserve">  </w:t>
      </w:r>
      <w:r>
        <w:rPr>
          <w:rFonts w:hint="eastAsia"/>
          <w:sz w:val="24"/>
          <w:szCs w:val="24"/>
        </w:rPr>
        <w:t xml:space="preserve"> 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spacing w:line="360" w:lineRule="auto"/>
        <w:jc w:val="left"/>
        <w:rPr>
          <w:sz w:val="24"/>
          <w:szCs w:val="24"/>
        </w:rPr>
      </w:pPr>
    </w:p>
    <w:p>
      <w:pPr>
        <w:spacing w:line="360" w:lineRule="auto"/>
        <w:jc w:val="left"/>
        <w:rPr>
          <w:sz w:val="24"/>
          <w:szCs w:val="24"/>
        </w:rPr>
      </w:pPr>
      <w:r>
        <w:rPr>
          <w:rFonts w:hint="eastAsia"/>
          <w:sz w:val="24"/>
          <w:szCs w:val="24"/>
        </w:rPr>
        <w:t>特此声明。</w:t>
      </w:r>
    </w:p>
    <w:p>
      <w:pPr>
        <w:spacing w:line="360" w:lineRule="auto"/>
        <w:jc w:val="right"/>
        <w:rPr>
          <w:sz w:val="24"/>
          <w:szCs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right"/>
        <w:rPr>
          <w:rFonts w:hint="eastAsia" w:eastAsia="宋体"/>
          <w:sz w:val="24"/>
          <w:szCs w:val="24"/>
          <w:lang w:val="zh-CN"/>
        </w:rPr>
      </w:pPr>
      <w:r>
        <w:rPr>
          <w:rFonts w:hint="eastAsia" w:eastAsia="宋体"/>
          <w:sz w:val="24"/>
          <w:szCs w:val="24"/>
          <w:lang w:val="zh-CN"/>
        </w:rPr>
        <w:t>（投标人公章）</w:t>
      </w:r>
    </w:p>
    <w:p>
      <w:pPr>
        <w:spacing w:line="360" w:lineRule="auto"/>
        <w:jc w:val="right"/>
      </w:pPr>
      <w:r>
        <w:rPr>
          <w:rFonts w:hint="eastAsia" w:eastAsia="宋体"/>
          <w:sz w:val="24"/>
          <w:szCs w:val="24"/>
          <w:lang w:val="zh-CN"/>
        </w:rPr>
        <w:t>年   月   日</w:t>
      </w:r>
    </w:p>
    <w:p>
      <w:pPr>
        <w:pStyle w:val="3"/>
      </w:pPr>
    </w:p>
    <w:p>
      <w:pPr>
        <w:pStyle w:val="3"/>
      </w:pPr>
    </w:p>
    <w:p>
      <w:pPr>
        <w:pStyle w:val="3"/>
      </w:pPr>
    </w:p>
    <w:p>
      <w:pPr>
        <w:rPr>
          <w:rFonts w:hint="eastAsia"/>
          <w:sz w:val="28"/>
          <w:szCs w:val="28"/>
        </w:rPr>
      </w:pPr>
      <w:bookmarkStart w:id="187" w:name="_Toc17230"/>
      <w:r>
        <w:rPr>
          <w:rFonts w:hint="eastAsia"/>
          <w:sz w:val="28"/>
          <w:szCs w:val="28"/>
        </w:rPr>
        <w:br w:type="page"/>
      </w:r>
    </w:p>
    <w:p>
      <w:pPr>
        <w:adjustRightInd w:val="0"/>
        <w:snapToGrid w:val="0"/>
        <w:spacing w:line="580" w:lineRule="exact"/>
        <w:outlineLvl w:val="1"/>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6</w:t>
      </w:r>
      <w:r>
        <w:rPr>
          <w:rFonts w:hint="eastAsia"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rPr>
        <w:t>依法缴纳税收和社会保障金的证明材料复印件；依法免税或不需要缴纳社会保障资金的供应商，应提供相应文件证明其依法免税或不需要缴纳社会保障资金</w:t>
      </w:r>
      <w:bookmarkEnd w:id="187"/>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sz w:val="28"/>
          <w:szCs w:val="28"/>
        </w:rPr>
      </w:pPr>
      <w:bookmarkStart w:id="188" w:name="_Toc4567"/>
      <w:bookmarkStart w:id="189" w:name="_Toc22924"/>
      <w:r>
        <w:rPr>
          <w:rFonts w:hint="eastAsia"/>
          <w:sz w:val="28"/>
          <w:szCs w:val="28"/>
        </w:rPr>
        <w:br w:type="page"/>
      </w:r>
    </w:p>
    <w:p>
      <w:pPr>
        <w:adjustRightInd w:val="0"/>
        <w:snapToGrid w:val="0"/>
        <w:spacing w:line="580" w:lineRule="exact"/>
        <w:outlineLvl w:val="1"/>
        <w:rPr>
          <w:rFonts w:hint="eastAsia" w:cs="Times New Roman" w:eastAsiaTheme="minorEastAsia"/>
          <w:sz w:val="28"/>
          <w:szCs w:val="28"/>
          <w:lang w:val="en-US" w:eastAsia="zh-CN"/>
        </w:rPr>
      </w:pPr>
      <w:r>
        <w:rPr>
          <w:rFonts w:hint="eastAsia" w:cs="Times New Roman" w:eastAsiaTheme="minorEastAsia"/>
          <w:sz w:val="28"/>
          <w:szCs w:val="28"/>
          <w:lang w:val="en-US" w:eastAsia="zh-CN"/>
        </w:rPr>
        <w:t>7.投标人法定代表人证明书或授权委托函原件材料</w:t>
      </w:r>
      <w:bookmarkEnd w:id="188"/>
      <w:bookmarkEnd w:id="189"/>
    </w:p>
    <w:p>
      <w:pPr>
        <w:pStyle w:val="6"/>
        <w:numPr>
          <w:ilvl w:val="0"/>
          <w:numId w:val="0"/>
        </w:numPr>
        <w:jc w:val="both"/>
        <w:rPr>
          <w:rFonts w:hint="eastAsia" w:eastAsia="宋体"/>
          <w:color w:val="000000"/>
          <w:lang w:val="en-US" w:eastAsia="zh-CN"/>
        </w:rPr>
      </w:pPr>
      <w:r>
        <w:rPr>
          <w:rFonts w:hint="eastAsia" w:eastAsia="宋体"/>
          <w:color w:val="000000"/>
          <w:lang w:val="en-US" w:eastAsia="zh-CN"/>
        </w:rPr>
        <w:t>7.1法定代表人身份证明书</w:t>
      </w:r>
    </w:p>
    <w:p>
      <w:pPr>
        <w:adjustRightInd w:val="0"/>
        <w:snapToGrid w:val="0"/>
        <w:rPr>
          <w:rFonts w:eastAsia="微软雅黑"/>
          <w:sz w:val="24"/>
        </w:rPr>
      </w:pPr>
    </w:p>
    <w:p>
      <w:pPr>
        <w:widowControl/>
        <w:ind w:firstLine="480" w:firstLineChars="200"/>
        <w:jc w:val="center"/>
        <w:rPr>
          <w:rFonts w:eastAsia="微软雅黑"/>
          <w:sz w:val="24"/>
        </w:rPr>
      </w:pPr>
      <w:r>
        <w:rPr>
          <w:rFonts w:eastAsia="微软雅黑"/>
          <w:sz w:val="24"/>
        </w:rPr>
        <w:t>法定代表人身份证明书（格式）</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项目名称：</w:t>
      </w:r>
      <w:r>
        <w:rPr>
          <w:rFonts w:eastAsia="微软雅黑"/>
          <w:sz w:val="24"/>
          <w:u w:val="single"/>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pPr>
        <w:tabs>
          <w:tab w:val="left" w:pos="6300"/>
        </w:tabs>
        <w:snapToGrid w:val="0"/>
        <w:spacing w:line="500" w:lineRule="exact"/>
        <w:ind w:firstLine="570"/>
        <w:rPr>
          <w:rFonts w:eastAsia="微软雅黑"/>
          <w:sz w:val="24"/>
        </w:rPr>
      </w:pPr>
      <w:r>
        <w:rPr>
          <w:rFonts w:eastAsia="微软雅黑"/>
          <w:sz w:val="24"/>
          <w:u w:val="single"/>
        </w:rPr>
        <w:t xml:space="preserve">        </w:t>
      </w:r>
      <w:r>
        <w:rPr>
          <w:rFonts w:eastAsia="微软雅黑"/>
          <w:sz w:val="24"/>
        </w:rPr>
        <w:t>（法定代表人姓名）在</w:t>
      </w:r>
      <w:r>
        <w:rPr>
          <w:rFonts w:eastAsia="微软雅黑"/>
          <w:sz w:val="24"/>
          <w:u w:val="single"/>
        </w:rPr>
        <w:t xml:space="preserve">                       </w:t>
      </w:r>
      <w:r>
        <w:rPr>
          <w:rFonts w:eastAsia="微软雅黑"/>
          <w:sz w:val="24"/>
        </w:rPr>
        <w:t>（供应商名称）任</w:t>
      </w:r>
      <w:r>
        <w:rPr>
          <w:rFonts w:eastAsia="微软雅黑"/>
          <w:sz w:val="24"/>
          <w:u w:val="single"/>
        </w:rPr>
        <w:t xml:space="preserve">    </w:t>
      </w:r>
      <w:r>
        <w:rPr>
          <w:rFonts w:eastAsia="微软雅黑"/>
          <w:sz w:val="24"/>
        </w:rPr>
        <w:t>（职务名称）职务，是（供应商名称）</w:t>
      </w:r>
      <w:r>
        <w:rPr>
          <w:rFonts w:eastAsia="微软雅黑"/>
          <w:sz w:val="24"/>
          <w:u w:val="single"/>
        </w:rPr>
        <w:t xml:space="preserve">              </w:t>
      </w:r>
      <w:r>
        <w:rPr>
          <w:rFonts w:eastAsia="微软雅黑"/>
          <w:sz w:val="24"/>
        </w:rPr>
        <w:t>的法定代表人。</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特此证明。</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 xml:space="preserve">                                             （投标人公章）</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 xml:space="preserve">                                             年   月   日</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（附：法定代表人身份证正反面复印件）</w:t>
      </w: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7"/>
        <w:rPr>
          <w:rFonts w:ascii="Times New Roman" w:hAnsi="Times New Roman" w:eastAsia="微软雅黑"/>
        </w:rPr>
      </w:pPr>
    </w:p>
    <w:p>
      <w:pPr>
        <w:rPr>
          <w:rFonts w:eastAsia="微软雅黑"/>
          <w:sz w:val="24"/>
        </w:rPr>
      </w:pPr>
    </w:p>
    <w:p>
      <w:pPr>
        <w:pStyle w:val="7"/>
        <w:rPr>
          <w:rFonts w:ascii="Times New Roman" w:hAnsi="Times New Roman" w:eastAsia="微软雅黑"/>
        </w:rPr>
      </w:pPr>
    </w:p>
    <w:p>
      <w:pPr>
        <w:rPr>
          <w:rFonts w:hint="eastAsia" w:eastAsia="微软雅黑"/>
          <w:sz w:val="24"/>
        </w:rPr>
      </w:pPr>
      <w:r>
        <w:rPr>
          <w:rFonts w:hint="eastAsia" w:eastAsia="微软雅黑"/>
          <w:sz w:val="24"/>
        </w:rPr>
        <w:br w:type="page"/>
      </w:r>
    </w:p>
    <w:p>
      <w:pPr>
        <w:pStyle w:val="6"/>
        <w:numPr>
          <w:ilvl w:val="0"/>
          <w:numId w:val="0"/>
        </w:numPr>
        <w:jc w:val="both"/>
        <w:rPr>
          <w:rFonts w:hint="eastAsia" w:eastAsia="宋体"/>
          <w:color w:val="000000"/>
          <w:lang w:val="en-US" w:eastAsia="zh-CN"/>
        </w:rPr>
      </w:pPr>
      <w:r>
        <w:rPr>
          <w:rFonts w:hint="eastAsia" w:eastAsia="宋体"/>
          <w:color w:val="000000"/>
          <w:lang w:val="en-US" w:eastAsia="zh-CN"/>
        </w:rPr>
        <w:t>7.2法定代表人授权委托书</w:t>
      </w:r>
    </w:p>
    <w:p>
      <w:pPr>
        <w:rPr>
          <w:rFonts w:hint="eastAsia"/>
          <w:lang w:val="en-US" w:eastAsia="zh-CN"/>
        </w:rPr>
      </w:pPr>
    </w:p>
    <w:p>
      <w:pPr>
        <w:tabs>
          <w:tab w:val="left" w:pos="6300"/>
        </w:tabs>
        <w:snapToGrid w:val="0"/>
        <w:spacing w:line="500" w:lineRule="exact"/>
        <w:ind w:firstLine="570"/>
        <w:jc w:val="center"/>
        <w:rPr>
          <w:rFonts w:eastAsia="微软雅黑"/>
          <w:sz w:val="24"/>
        </w:rPr>
      </w:pPr>
      <w:r>
        <w:rPr>
          <w:rFonts w:eastAsia="微软雅黑"/>
          <w:sz w:val="24"/>
        </w:rPr>
        <w:t>法定代表人授权委托书（格式）</w:t>
      </w:r>
    </w:p>
    <w:p>
      <w:pPr>
        <w:tabs>
          <w:tab w:val="left" w:pos="6300"/>
        </w:tabs>
        <w:snapToGrid w:val="0"/>
        <w:spacing w:line="500" w:lineRule="exact"/>
        <w:ind w:firstLine="570"/>
        <w:rPr>
          <w:rFonts w:eastAsia="微软雅黑"/>
          <w:sz w:val="24"/>
        </w:rPr>
      </w:pPr>
      <w:r>
        <w:rPr>
          <w:rFonts w:eastAsia="微软雅黑"/>
          <w:sz w:val="24"/>
        </w:rPr>
        <w:t xml:space="preserve">    </w:t>
      </w:r>
    </w:p>
    <w:p>
      <w:pPr>
        <w:tabs>
          <w:tab w:val="left" w:pos="6300"/>
        </w:tabs>
        <w:snapToGrid w:val="0"/>
        <w:spacing w:line="500" w:lineRule="exact"/>
        <w:ind w:firstLine="480" w:firstLineChars="200"/>
        <w:rPr>
          <w:rFonts w:eastAsia="微软雅黑"/>
          <w:sz w:val="24"/>
        </w:rPr>
      </w:pPr>
      <w:r>
        <w:rPr>
          <w:rFonts w:eastAsia="微软雅黑"/>
          <w:sz w:val="24"/>
        </w:rPr>
        <w:t>项目名称：</w:t>
      </w:r>
      <w:r>
        <w:rPr>
          <w:rFonts w:eastAsia="微软雅黑"/>
          <w:sz w:val="24"/>
          <w:u w:val="single"/>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480" w:firstLineChars="20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pPr>
        <w:tabs>
          <w:tab w:val="left" w:pos="6300"/>
        </w:tabs>
        <w:snapToGrid w:val="0"/>
        <w:spacing w:line="500" w:lineRule="exact"/>
        <w:ind w:firstLine="480" w:firstLineChars="200"/>
        <w:rPr>
          <w:rFonts w:eastAsia="微软雅黑"/>
          <w:sz w:val="24"/>
        </w:rPr>
      </w:pPr>
      <w:r>
        <w:rPr>
          <w:rFonts w:eastAsia="微软雅黑"/>
          <w:sz w:val="24"/>
          <w:u w:val="single"/>
        </w:rPr>
        <w:t xml:space="preserve">            </w:t>
      </w:r>
      <w:r>
        <w:rPr>
          <w:rFonts w:eastAsia="微软雅黑"/>
          <w:sz w:val="24"/>
        </w:rPr>
        <w:t>（供应商法定代表人名称）是</w:t>
      </w:r>
      <w:r>
        <w:rPr>
          <w:rFonts w:eastAsia="微软雅黑"/>
          <w:sz w:val="24"/>
          <w:u w:val="single"/>
        </w:rPr>
        <w:t xml:space="preserve">                    </w:t>
      </w:r>
      <w:r>
        <w:rPr>
          <w:rFonts w:eastAsia="微软雅黑"/>
          <w:sz w:val="24"/>
        </w:rPr>
        <w:t>（供应商名称）的法定代表人，特授权</w:t>
      </w:r>
      <w:r>
        <w:rPr>
          <w:rFonts w:eastAsia="微软雅黑"/>
          <w:sz w:val="24"/>
          <w:u w:val="single"/>
        </w:rPr>
        <w:t xml:space="preserve">          </w:t>
      </w:r>
      <w:r>
        <w:rPr>
          <w:rFonts w:eastAsia="微软雅黑"/>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eastAsia="微软雅黑"/>
          <w:sz w:val="24"/>
        </w:rPr>
      </w:pPr>
      <w:r>
        <w:rPr>
          <w:rFonts w:eastAsia="微软雅黑"/>
          <w:sz w:val="24"/>
        </w:rPr>
        <w:t>我单位对被授权人的签字负全部责任。</w:t>
      </w:r>
    </w:p>
    <w:p>
      <w:pPr>
        <w:tabs>
          <w:tab w:val="left" w:pos="6300"/>
        </w:tabs>
        <w:snapToGrid w:val="0"/>
        <w:spacing w:line="500" w:lineRule="exact"/>
        <w:ind w:firstLine="480" w:firstLineChars="200"/>
        <w:rPr>
          <w:rFonts w:eastAsia="微软雅黑"/>
          <w:sz w:val="24"/>
        </w:rPr>
      </w:pPr>
      <w:r>
        <w:rPr>
          <w:rFonts w:eastAsia="微软雅黑"/>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被授权人：                                 投标人法定代表人：</w:t>
      </w:r>
    </w:p>
    <w:p>
      <w:pPr>
        <w:tabs>
          <w:tab w:val="left" w:pos="6300"/>
        </w:tabs>
        <w:snapToGrid w:val="0"/>
        <w:spacing w:line="500" w:lineRule="exact"/>
        <w:ind w:firstLine="570"/>
        <w:rPr>
          <w:rFonts w:eastAsia="微软雅黑"/>
          <w:sz w:val="24"/>
        </w:rPr>
      </w:pPr>
      <w:r>
        <w:rPr>
          <w:rFonts w:eastAsia="微软雅黑"/>
          <w:sz w:val="24"/>
        </w:rPr>
        <w:t>（签字或盖章）                                （签字或盖章）</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outlineLvl w:val="1"/>
        <w:rPr>
          <w:rFonts w:eastAsia="微软雅黑"/>
          <w:sz w:val="24"/>
        </w:rPr>
      </w:pPr>
      <w:bookmarkStart w:id="190" w:name="_Toc621"/>
      <w:bookmarkStart w:id="191" w:name="_Toc27976"/>
      <w:r>
        <w:rPr>
          <w:rFonts w:eastAsia="微软雅黑"/>
          <w:sz w:val="24"/>
        </w:rPr>
        <w:t>（附：被授权人身份证正反面复印件）</w:t>
      </w:r>
      <w:bookmarkEnd w:id="190"/>
      <w:bookmarkEnd w:id="191"/>
    </w:p>
    <w:p>
      <w:pPr>
        <w:tabs>
          <w:tab w:val="left" w:pos="6300"/>
        </w:tabs>
        <w:snapToGrid w:val="0"/>
        <w:spacing w:line="500" w:lineRule="exact"/>
        <w:ind w:firstLine="570"/>
        <w:rPr>
          <w:rFonts w:eastAsia="微软雅黑"/>
          <w:sz w:val="24"/>
        </w:rPr>
      </w:pPr>
      <w:r>
        <w:rPr>
          <w:rFonts w:eastAsia="微软雅黑"/>
          <w:sz w:val="24"/>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right="480" w:firstLine="570"/>
        <w:jc w:val="right"/>
        <w:rPr>
          <w:rFonts w:eastAsia="微软雅黑"/>
          <w:sz w:val="24"/>
        </w:rPr>
      </w:pPr>
      <w:r>
        <w:rPr>
          <w:rFonts w:eastAsia="微软雅黑"/>
          <w:sz w:val="24"/>
        </w:rPr>
        <w:t>（投标人公章）</w:t>
      </w:r>
    </w:p>
    <w:p>
      <w:pPr>
        <w:tabs>
          <w:tab w:val="left" w:pos="6300"/>
        </w:tabs>
        <w:snapToGrid w:val="0"/>
        <w:spacing w:line="500" w:lineRule="exact"/>
        <w:ind w:right="480" w:firstLine="570"/>
        <w:jc w:val="right"/>
        <w:rPr>
          <w:rFonts w:eastAsia="微软雅黑"/>
          <w:sz w:val="24"/>
        </w:rPr>
      </w:pPr>
      <w:r>
        <w:rPr>
          <w:rFonts w:eastAsia="微软雅黑"/>
          <w:sz w:val="24"/>
        </w:rPr>
        <w:t>年   月   日</w:t>
      </w:r>
    </w:p>
    <w:p>
      <w:pPr>
        <w:pStyle w:val="2"/>
      </w:pPr>
    </w:p>
    <w:p>
      <w:pPr>
        <w:pStyle w:val="3"/>
      </w:pPr>
    </w:p>
    <w:p>
      <w:pPr>
        <w:adjustRightInd w:val="0"/>
        <w:snapToGrid w:val="0"/>
        <w:spacing w:line="580" w:lineRule="exact"/>
        <w:ind w:firstLine="560" w:firstLineChars="200"/>
        <w:outlineLvl w:val="1"/>
      </w:pPr>
      <w:bookmarkStart w:id="192" w:name="_Toc4397"/>
      <w:bookmarkStart w:id="193" w:name="_Toc5517"/>
      <w:r>
        <w:rPr>
          <w:rFonts w:hint="eastAsia" w:ascii="Times New Roman" w:hAnsi="Times New Roman" w:cs="Times New Roman" w:eastAsiaTheme="minorEastAsia"/>
          <w:sz w:val="28"/>
          <w:szCs w:val="28"/>
        </w:rPr>
        <w:t>8.采购人要求提供的其他证明材</w:t>
      </w:r>
      <w:bookmarkEnd w:id="192"/>
      <w:r>
        <w:rPr>
          <w:rFonts w:hint="eastAsia" w:ascii="Times New Roman" w:hAnsi="Times New Roman" w:cs="Times New Roman" w:eastAsiaTheme="minorEastAsia"/>
          <w:sz w:val="28"/>
          <w:szCs w:val="28"/>
        </w:rPr>
        <w:t>料</w:t>
      </w:r>
      <w:bookmarkEnd w:id="52"/>
      <w:bookmarkEnd w:id="53"/>
      <w:bookmarkEnd w:id="54"/>
      <w:bookmarkEnd w:id="55"/>
      <w:bookmarkEnd w:id="67"/>
      <w:bookmarkEnd w:id="193"/>
    </w:p>
    <w:sectPr>
      <w:footerReference r:id="rId12" w:type="default"/>
      <w:footerReference r:id="rId13" w:type="even"/>
      <w:pgSz w:w="11906" w:h="16838"/>
      <w:pgMar w:top="1440" w:right="1588" w:bottom="1247"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DlKBrZpwEAAEIDAAAOAAAAAAAAAAEAIAAAADQBAABkcnMvZTJvRG9jLnhtbFBLBQYAAAAA&#10;BgAGAFkBAABN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4nS3qoAQAAQgMAAA4AAABkcnMv&#10;ZTJvRG9jLnhtbK1SS44TMRDdI3EHy3viTjR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3idLeqgBAABCAwAADgAAAAAAAAABACAAAAA0AQAAZHJzL2Uyb0RvYy54bWxQSwUGAAAA&#10;AAYABgBZAQAAT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D1005"/>
    <w:multiLevelType w:val="singleLevel"/>
    <w:tmpl w:val="97FD100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ODQ5ZTIzNWRhZTM4YTY4OWZhMDcyNWVkNTUzYTMifQ=="/>
  </w:docVars>
  <w:rsids>
    <w:rsidRoot w:val="5FDE4143"/>
    <w:rsid w:val="00014AB2"/>
    <w:rsid w:val="00186CCF"/>
    <w:rsid w:val="001A413C"/>
    <w:rsid w:val="0033742F"/>
    <w:rsid w:val="004B2578"/>
    <w:rsid w:val="00700BE5"/>
    <w:rsid w:val="008E246B"/>
    <w:rsid w:val="00B20386"/>
    <w:rsid w:val="00C103D7"/>
    <w:rsid w:val="00C34DAD"/>
    <w:rsid w:val="00FC0E16"/>
    <w:rsid w:val="00FE55A7"/>
    <w:rsid w:val="03100052"/>
    <w:rsid w:val="04893C18"/>
    <w:rsid w:val="070E6657"/>
    <w:rsid w:val="0E7616B1"/>
    <w:rsid w:val="0FC85F3C"/>
    <w:rsid w:val="10CC55B8"/>
    <w:rsid w:val="13B62550"/>
    <w:rsid w:val="148E4CE7"/>
    <w:rsid w:val="172A3039"/>
    <w:rsid w:val="199064B5"/>
    <w:rsid w:val="1B3A5814"/>
    <w:rsid w:val="1B5F527B"/>
    <w:rsid w:val="1C9A47BD"/>
    <w:rsid w:val="1D597B8C"/>
    <w:rsid w:val="1EED4C48"/>
    <w:rsid w:val="23241284"/>
    <w:rsid w:val="2681079B"/>
    <w:rsid w:val="26A70A8E"/>
    <w:rsid w:val="27082A3F"/>
    <w:rsid w:val="28AE5A00"/>
    <w:rsid w:val="28C57F91"/>
    <w:rsid w:val="2AB0164F"/>
    <w:rsid w:val="2CC3566A"/>
    <w:rsid w:val="2E60513A"/>
    <w:rsid w:val="2E7035CF"/>
    <w:rsid w:val="2E8E1CA7"/>
    <w:rsid w:val="2E9848D4"/>
    <w:rsid w:val="2EAB4607"/>
    <w:rsid w:val="30A25EDE"/>
    <w:rsid w:val="30F027A5"/>
    <w:rsid w:val="311F752F"/>
    <w:rsid w:val="324D1440"/>
    <w:rsid w:val="325D030E"/>
    <w:rsid w:val="341E3ACD"/>
    <w:rsid w:val="35496928"/>
    <w:rsid w:val="36E6490D"/>
    <w:rsid w:val="373553B6"/>
    <w:rsid w:val="3787198A"/>
    <w:rsid w:val="37E6BA6E"/>
    <w:rsid w:val="388008B3"/>
    <w:rsid w:val="38C25EA0"/>
    <w:rsid w:val="38CF5396"/>
    <w:rsid w:val="394713D0"/>
    <w:rsid w:val="3B2C4D22"/>
    <w:rsid w:val="3CAA2FAB"/>
    <w:rsid w:val="3CC55926"/>
    <w:rsid w:val="3D78529D"/>
    <w:rsid w:val="3E6B9EE0"/>
    <w:rsid w:val="3E925C5A"/>
    <w:rsid w:val="3F6B1A4C"/>
    <w:rsid w:val="3FFADE18"/>
    <w:rsid w:val="42AB2199"/>
    <w:rsid w:val="432542A2"/>
    <w:rsid w:val="45F34DBA"/>
    <w:rsid w:val="48311BC9"/>
    <w:rsid w:val="4F082F58"/>
    <w:rsid w:val="51F8604A"/>
    <w:rsid w:val="535B7AFB"/>
    <w:rsid w:val="5463135D"/>
    <w:rsid w:val="55A75279"/>
    <w:rsid w:val="577E025B"/>
    <w:rsid w:val="57E04A72"/>
    <w:rsid w:val="595474C6"/>
    <w:rsid w:val="5B3255E5"/>
    <w:rsid w:val="5EDF7FA5"/>
    <w:rsid w:val="5EE5968C"/>
    <w:rsid w:val="5F021772"/>
    <w:rsid w:val="5F5159EF"/>
    <w:rsid w:val="5FDE4143"/>
    <w:rsid w:val="60917251"/>
    <w:rsid w:val="62E5015D"/>
    <w:rsid w:val="69B20B6F"/>
    <w:rsid w:val="6AB37DC4"/>
    <w:rsid w:val="6BCC7390"/>
    <w:rsid w:val="6CB61CF4"/>
    <w:rsid w:val="6CC14A1B"/>
    <w:rsid w:val="6D9263B7"/>
    <w:rsid w:val="6E3336F6"/>
    <w:rsid w:val="6E4E22DE"/>
    <w:rsid w:val="6E7853DC"/>
    <w:rsid w:val="6ED934BE"/>
    <w:rsid w:val="6F65E71D"/>
    <w:rsid w:val="6F854425"/>
    <w:rsid w:val="6F8F7052"/>
    <w:rsid w:val="70531E2E"/>
    <w:rsid w:val="71F238C8"/>
    <w:rsid w:val="726F6CC7"/>
    <w:rsid w:val="73F323FB"/>
    <w:rsid w:val="74455F31"/>
    <w:rsid w:val="74730CF0"/>
    <w:rsid w:val="75CB06B8"/>
    <w:rsid w:val="76962A74"/>
    <w:rsid w:val="76EF2990"/>
    <w:rsid w:val="76F725B2"/>
    <w:rsid w:val="77167C68"/>
    <w:rsid w:val="772462D2"/>
    <w:rsid w:val="796761B3"/>
    <w:rsid w:val="7A7B8113"/>
    <w:rsid w:val="7AFFB260"/>
    <w:rsid w:val="7BE44282"/>
    <w:rsid w:val="7CFBF2A1"/>
    <w:rsid w:val="7CFFCECF"/>
    <w:rsid w:val="7D7F9CF6"/>
    <w:rsid w:val="7E3DFA6A"/>
    <w:rsid w:val="7F1F4922"/>
    <w:rsid w:val="7FEC2D79"/>
    <w:rsid w:val="7FF5824E"/>
    <w:rsid w:val="9B778ED8"/>
    <w:rsid w:val="BDEF497A"/>
    <w:rsid w:val="BE7FA847"/>
    <w:rsid w:val="BF3F33E2"/>
    <w:rsid w:val="BFBCACCF"/>
    <w:rsid w:val="C7EE6A41"/>
    <w:rsid w:val="D74A40F9"/>
    <w:rsid w:val="DFF4A17E"/>
    <w:rsid w:val="E2C7638C"/>
    <w:rsid w:val="E9ED7E3E"/>
    <w:rsid w:val="EAFFDC8E"/>
    <w:rsid w:val="EDF7069A"/>
    <w:rsid w:val="EF660FB9"/>
    <w:rsid w:val="F09F5066"/>
    <w:rsid w:val="F7DFA221"/>
    <w:rsid w:val="F7F1D275"/>
    <w:rsid w:val="F957F0AB"/>
    <w:rsid w:val="FBBC1C49"/>
    <w:rsid w:val="FBBF0F4D"/>
    <w:rsid w:val="FD178D9B"/>
    <w:rsid w:val="FDF1939A"/>
    <w:rsid w:val="FDF856DB"/>
    <w:rsid w:val="FEBFC665"/>
    <w:rsid w:val="FFBE39B9"/>
    <w:rsid w:val="FFBFFD9A"/>
    <w:rsid w:val="FFDE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keepNext/>
      <w:keepLines/>
      <w:adjustRightInd w:val="0"/>
      <w:snapToGrid w:val="0"/>
      <w:spacing w:line="360" w:lineRule="auto"/>
      <w:outlineLvl w:val="1"/>
    </w:pPr>
    <w:rPr>
      <w:rFonts w:ascii="宋体" w:hAnsi="宋体" w:eastAsia="Calibri"/>
      <w:sz w:val="28"/>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4"/>
    <w:qFormat/>
    <w:uiPriority w:val="0"/>
    <w:pPr>
      <w:ind w:left="1" w:hanging="1"/>
    </w:pPr>
    <w:rPr>
      <w:rFonts w:ascii="仿宋_GB2312" w:eastAsia="仿宋_GB2312"/>
      <w:sz w:val="32"/>
    </w:rPr>
  </w:style>
  <w:style w:type="paragraph" w:styleId="4">
    <w:name w:val="envelope return"/>
    <w:basedOn w:val="1"/>
    <w:semiHidden/>
    <w:qFormat/>
    <w:uiPriority w:val="0"/>
    <w:pPr>
      <w:snapToGrid w:val="0"/>
    </w:pPr>
    <w:rPr>
      <w:rFonts w:ascii="Arial" w:hAnsi="Arial" w:cs="Arial"/>
    </w:rPr>
  </w:style>
  <w:style w:type="paragraph" w:styleId="7">
    <w:name w:val="Normal Indent"/>
    <w:basedOn w:val="1"/>
    <w:next w:val="1"/>
    <w:qFormat/>
    <w:uiPriority w:val="0"/>
    <w:pPr>
      <w:adjustRightInd w:val="0"/>
      <w:snapToGrid w:val="0"/>
      <w:spacing w:line="360" w:lineRule="auto"/>
      <w:ind w:firstLine="420"/>
    </w:pPr>
    <w:rPr>
      <w:rFonts w:ascii="Calibri" w:hAnsi="Calibri" w:eastAsia="Calibri"/>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2"/>
    <w:qFormat/>
    <w:uiPriority w:val="0"/>
    <w:pPr>
      <w:ind w:firstLine="420" w:firstLineChars="100"/>
    </w:pPr>
  </w:style>
  <w:style w:type="character" w:styleId="16">
    <w:name w:val="page number"/>
    <w:qFormat/>
    <w:uiPriority w:val="0"/>
  </w:style>
  <w:style w:type="character" w:styleId="17">
    <w:name w:val="Hyperlink"/>
    <w:basedOn w:val="15"/>
    <w:qFormat/>
    <w:uiPriority w:val="0"/>
    <w:rPr>
      <w:color w:val="0000FF"/>
      <w:u w:val="single"/>
    </w:rPr>
  </w:style>
  <w:style w:type="paragraph" w:customStyle="1" w:styleId="18">
    <w:name w:val="默认"/>
    <w:qFormat/>
    <w:uiPriority w:val="99"/>
    <w:rPr>
      <w:rFonts w:ascii="Times New Roman" w:hAnsi="Times New Roman" w:eastAsia="宋体" w:cs="Times New Roman"/>
      <w:color w:val="000000"/>
      <w:sz w:val="22"/>
      <w:szCs w:val="22"/>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6851</Words>
  <Characters>7064</Characters>
  <Lines>71</Lines>
  <Paragraphs>20</Paragraphs>
  <TotalTime>3</TotalTime>
  <ScaleCrop>false</ScaleCrop>
  <LinksUpToDate>false</LinksUpToDate>
  <CharactersWithSpaces>8070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2022-08-23T22:18:00Z</dcterms:created>
  <dc:creator>太阳花</dc:creator>
  <cp:lastModifiedBy>guest</cp:lastModifiedBy>
  <cp:lastPrinted>2023-03-10T02:02:00Z</cp:lastPrinted>
  <dcterms:modified xsi:type="dcterms:W3CDTF">2023-03-10T16:49:53Z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4106F88179B34EC7B2B3222A9581AA92</vt:lpwstr>
  </property>
</Properties>
</file>