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spacing w:line="360" w:lineRule="auto"/>
        <w:jc w:val="center"/>
        <w:outlineLvl w:val="0"/>
        <w:rPr>
          <w:rFonts w:ascii="微软雅黑" w:hAnsi="微软雅黑" w:eastAsia="微软雅黑"/>
          <w:b/>
          <w:sz w:val="84"/>
          <w:szCs w:val="84"/>
        </w:rPr>
      </w:pPr>
      <w:bookmarkStart w:id="0" w:name="_Toc995"/>
      <w:bookmarkStart w:id="1" w:name="_Toc734"/>
      <w:bookmarkStart w:id="2" w:name="_Toc9313"/>
      <w:bookmarkStart w:id="3" w:name="_Toc29226"/>
    </w:p>
    <w:p>
      <w:pPr>
        <w:spacing w:line="360" w:lineRule="auto"/>
        <w:jc w:val="center"/>
        <w:outlineLvl w:val="0"/>
        <w:rPr>
          <w:rFonts w:ascii="微软雅黑" w:hAnsi="微软雅黑" w:eastAsia="微软雅黑"/>
          <w:b/>
          <w:sz w:val="84"/>
          <w:szCs w:val="84"/>
        </w:rPr>
      </w:pPr>
      <w:r>
        <w:rPr>
          <w:rFonts w:hint="eastAsia" w:ascii="微软雅黑" w:hAnsi="微软雅黑" w:eastAsia="微软雅黑"/>
          <w:b/>
          <w:sz w:val="84"/>
          <w:szCs w:val="84"/>
        </w:rPr>
        <w:t>评比文件</w:t>
      </w:r>
      <w:bookmarkEnd w:id="0"/>
      <w:bookmarkEnd w:id="1"/>
      <w:bookmarkEnd w:id="2"/>
      <w:bookmarkEnd w:id="3"/>
    </w:p>
    <w:p>
      <w:pPr>
        <w:pStyle w:val="2"/>
      </w:pPr>
    </w:p>
    <w:p>
      <w:pPr>
        <w:spacing w:line="700" w:lineRule="exact"/>
        <w:jc w:val="center"/>
        <w:rPr>
          <w:rFonts w:ascii="微软雅黑" w:hAnsi="微软雅黑" w:eastAsia="微软雅黑"/>
          <w:sz w:val="32"/>
        </w:rPr>
      </w:pPr>
    </w:p>
    <w:p>
      <w:pPr>
        <w:jc w:val="center"/>
        <w:rPr>
          <w:rFonts w:ascii="微软雅黑" w:hAnsi="微软雅黑" w:eastAsia="微软雅黑" w:cs="微软雅黑"/>
          <w:sz w:val="28"/>
          <w:szCs w:val="28"/>
        </w:rPr>
      </w:pPr>
      <w:r>
        <w:rPr>
          <w:rFonts w:hint="eastAsia" w:ascii="微软雅黑" w:hAnsi="微软雅黑" w:eastAsia="微软雅黑" w:cs="微软雅黑"/>
          <w:sz w:val="28"/>
          <w:szCs w:val="28"/>
        </w:rPr>
        <w:t>项目名称：网站维护服务（网址：http://zsj.cq.gov.cn/wap.html）项目</w:t>
      </w:r>
    </w:p>
    <w:p>
      <w:pPr>
        <w:rPr>
          <w:rFonts w:eastAsia="微软雅黑"/>
        </w:rPr>
      </w:pPr>
    </w:p>
    <w:p>
      <w:pPr>
        <w:rPr>
          <w:rFonts w:eastAsia="微软雅黑"/>
        </w:rPr>
      </w:pPr>
    </w:p>
    <w:p>
      <w:pPr>
        <w:rPr>
          <w:rFonts w:eastAsia="微软雅黑"/>
        </w:rPr>
      </w:pPr>
    </w:p>
    <w:p>
      <w:pPr>
        <w:rPr>
          <w:rFonts w:eastAsia="微软雅黑"/>
        </w:rPr>
      </w:pPr>
    </w:p>
    <w:p>
      <w:pPr>
        <w:rPr>
          <w:rFonts w:eastAsia="微软雅黑"/>
        </w:rPr>
      </w:pPr>
    </w:p>
    <w:p>
      <w:pPr>
        <w:rPr>
          <w:rFonts w:eastAsia="微软雅黑"/>
        </w:rPr>
      </w:pPr>
    </w:p>
    <w:p>
      <w:pPr>
        <w:pStyle w:val="6"/>
        <w:ind w:firstLine="0"/>
        <w:rPr>
          <w:rFonts w:ascii="Times New Roman" w:hAnsi="Times New Roman" w:eastAsia="微软雅黑"/>
        </w:rPr>
      </w:pPr>
    </w:p>
    <w:p>
      <w:pPr>
        <w:rPr>
          <w:rFonts w:eastAsia="微软雅黑"/>
        </w:rPr>
      </w:pPr>
    </w:p>
    <w:p>
      <w:pPr>
        <w:pStyle w:val="6"/>
        <w:rPr>
          <w:rFonts w:ascii="Times New Roman" w:hAnsi="Times New Roman" w:eastAsia="微软雅黑"/>
        </w:rPr>
      </w:pPr>
    </w:p>
    <w:p>
      <w:pPr>
        <w:rPr>
          <w:rFonts w:eastAsia="微软雅黑"/>
        </w:rPr>
      </w:pPr>
    </w:p>
    <w:p>
      <w:pPr>
        <w:pStyle w:val="6"/>
        <w:rPr>
          <w:rFonts w:ascii="Times New Roman" w:hAnsi="Times New Roman"/>
        </w:rPr>
      </w:pPr>
    </w:p>
    <w:p>
      <w:pPr>
        <w:rPr>
          <w:rFonts w:eastAsia="微软雅黑"/>
        </w:rPr>
      </w:pPr>
    </w:p>
    <w:p>
      <w:pPr>
        <w:pStyle w:val="11"/>
        <w:ind w:firstLine="210"/>
      </w:pPr>
    </w:p>
    <w:p/>
    <w:p>
      <w:pPr>
        <w:rPr>
          <w:sz w:val="28"/>
          <w:szCs w:val="28"/>
        </w:rPr>
      </w:pPr>
    </w:p>
    <w:p>
      <w:pPr>
        <w:jc w:val="center"/>
        <w:rPr>
          <w:rFonts w:ascii="微软雅黑" w:hAnsi="微软雅黑" w:eastAsia="微软雅黑"/>
          <w:b/>
          <w:bCs/>
          <w:sz w:val="28"/>
          <w:szCs w:val="28"/>
        </w:rPr>
      </w:pPr>
      <w:r>
        <w:rPr>
          <w:rFonts w:hint="eastAsia" w:ascii="微软雅黑" w:hAnsi="微软雅黑" w:eastAsia="微软雅黑"/>
          <w:b/>
          <w:bCs/>
          <w:sz w:val="28"/>
          <w:szCs w:val="28"/>
        </w:rPr>
        <w:t>采购人：重庆市招商投资</w:t>
      </w:r>
      <w:r>
        <w:rPr>
          <w:rFonts w:ascii="微软雅黑" w:hAnsi="微软雅黑" w:eastAsia="微软雅黑"/>
          <w:b/>
          <w:bCs/>
          <w:sz w:val="28"/>
          <w:szCs w:val="28"/>
        </w:rPr>
        <w:t>促进局</w:t>
      </w:r>
    </w:p>
    <w:p>
      <w:pPr>
        <w:rPr>
          <w:rFonts w:ascii="微软雅黑" w:hAnsi="微软雅黑" w:eastAsia="微软雅黑"/>
          <w:b/>
          <w:bCs/>
          <w:sz w:val="28"/>
          <w:szCs w:val="28"/>
        </w:rPr>
      </w:pPr>
    </w:p>
    <w:p>
      <w:pPr>
        <w:pStyle w:val="2"/>
      </w:pPr>
    </w:p>
    <w:p>
      <w:pPr>
        <w:spacing w:line="720" w:lineRule="exact"/>
        <w:jc w:val="center"/>
        <w:outlineLvl w:val="0"/>
        <w:rPr>
          <w:rFonts w:ascii="微软雅黑" w:hAnsi="微软雅黑" w:eastAsia="微软雅黑"/>
          <w:b/>
          <w:bCs/>
          <w:sz w:val="30"/>
          <w:szCs w:val="30"/>
        </w:rPr>
      </w:pPr>
      <w:bookmarkStart w:id="4" w:name="_Toc32079"/>
      <w:bookmarkStart w:id="5" w:name="_Toc8148"/>
      <w:bookmarkStart w:id="6" w:name="_Toc1262"/>
      <w:bookmarkStart w:id="7" w:name="_Toc11745"/>
      <w:bookmarkStart w:id="8" w:name="_Toc18412"/>
      <w:r>
        <w:rPr>
          <w:rFonts w:hint="eastAsia" w:ascii="微软雅黑" w:hAnsi="微软雅黑" w:eastAsia="微软雅黑"/>
          <w:b/>
          <w:bCs/>
          <w:sz w:val="30"/>
          <w:szCs w:val="30"/>
        </w:rPr>
        <w:t>二〇二二年八月</w:t>
      </w:r>
      <w:bookmarkEnd w:id="4"/>
      <w:bookmarkEnd w:id="5"/>
      <w:bookmarkEnd w:id="6"/>
      <w:bookmarkEnd w:id="7"/>
      <w:bookmarkEnd w:id="8"/>
    </w:p>
    <w:p>
      <w:pPr>
        <w:pStyle w:val="11"/>
        <w:ind w:firstLine="440"/>
        <w:jc w:val="center"/>
        <w:rPr>
          <w:rFonts w:ascii="微软雅黑" w:hAnsi="微软雅黑" w:eastAsia="微软雅黑"/>
          <w:sz w:val="44"/>
          <w:szCs w:val="44"/>
        </w:rPr>
        <w:sectPr>
          <w:headerReference r:id="rId5" w:type="first"/>
          <w:headerReference r:id="rId3" w:type="default"/>
          <w:headerReference r:id="rId4" w:type="even"/>
          <w:footerReference r:id="rId6" w:type="even"/>
          <w:pgSz w:w="11907" w:h="16840"/>
          <w:pgMar w:top="1134" w:right="1418" w:bottom="1134" w:left="1418" w:header="851" w:footer="992" w:gutter="0"/>
          <w:pgNumType w:start="0"/>
          <w:cols w:space="720" w:num="1"/>
          <w:titlePg/>
          <w:docGrid w:linePitch="381" w:charSpace="-5735"/>
        </w:sectPr>
      </w:pPr>
    </w:p>
    <w:p>
      <w:pPr>
        <w:spacing w:before="120" w:after="120" w:line="580" w:lineRule="exact"/>
        <w:jc w:val="center"/>
        <w:rPr>
          <w:rFonts w:eastAsia="微软雅黑"/>
          <w:kern w:val="0"/>
          <w:sz w:val="44"/>
          <w:szCs w:val="44"/>
        </w:rPr>
      </w:pPr>
      <w:r>
        <w:rPr>
          <w:rFonts w:eastAsia="微软雅黑"/>
          <w:kern w:val="0"/>
          <w:sz w:val="44"/>
          <w:szCs w:val="44"/>
        </w:rPr>
        <w:t>目     录</w:t>
      </w:r>
    </w:p>
    <w:p>
      <w:pPr>
        <w:spacing w:before="120" w:after="120" w:line="580" w:lineRule="exact"/>
        <w:rPr>
          <w:rFonts w:eastAsia="微软雅黑"/>
          <w:sz w:val="32"/>
          <w:szCs w:val="32"/>
        </w:rPr>
      </w:pPr>
    </w:p>
    <w:p>
      <w:pPr>
        <w:pStyle w:val="9"/>
        <w:tabs>
          <w:tab w:val="right" w:leader="dot" w:pos="9412"/>
        </w:tabs>
      </w:pPr>
      <w:r>
        <w:rPr>
          <w:rFonts w:eastAsia="微软雅黑"/>
          <w:b/>
          <w:bCs/>
          <w:sz w:val="36"/>
          <w:szCs w:val="36"/>
        </w:rPr>
        <w:fldChar w:fldCharType="begin"/>
      </w:r>
      <w:r>
        <w:rPr>
          <w:rFonts w:eastAsia="微软雅黑"/>
          <w:b/>
          <w:bCs/>
          <w:sz w:val="36"/>
          <w:szCs w:val="36"/>
        </w:rPr>
        <w:instrText xml:space="preserve">TOC \o "1-2" \h \u </w:instrText>
      </w:r>
      <w:r>
        <w:rPr>
          <w:rFonts w:eastAsia="微软雅黑"/>
          <w:b/>
          <w:bCs/>
          <w:sz w:val="36"/>
          <w:szCs w:val="36"/>
        </w:rPr>
        <w:fldChar w:fldCharType="separate"/>
      </w:r>
    </w:p>
    <w:p>
      <w:pPr>
        <w:pStyle w:val="10"/>
        <w:tabs>
          <w:tab w:val="right" w:leader="dot" w:pos="9412"/>
        </w:tabs>
      </w:pPr>
      <w:r>
        <w:fldChar w:fldCharType="begin"/>
      </w:r>
      <w:r>
        <w:instrText xml:space="preserve"> HYPERLINK \l "_Toc11930" </w:instrText>
      </w:r>
      <w:r>
        <w:fldChar w:fldCharType="separate"/>
      </w:r>
      <w:r>
        <w:rPr>
          <w:rFonts w:hint="eastAsia" w:ascii="微软雅黑" w:hAnsi="微软雅黑" w:eastAsia="微软雅黑"/>
          <w:szCs w:val="36"/>
        </w:rPr>
        <w:t>第一篇  评比邀请书</w:t>
      </w:r>
      <w:r>
        <w:tab/>
      </w:r>
      <w:r>
        <w:fldChar w:fldCharType="begin"/>
      </w:r>
      <w:r>
        <w:instrText xml:space="preserve"> PAGEREF _Toc11930 \h </w:instrText>
      </w:r>
      <w:r>
        <w:fldChar w:fldCharType="separate"/>
      </w:r>
      <w:r>
        <w:t>1</w:t>
      </w:r>
      <w:r>
        <w:fldChar w:fldCharType="end"/>
      </w:r>
      <w:r>
        <w:fldChar w:fldCharType="end"/>
      </w:r>
    </w:p>
    <w:p>
      <w:pPr>
        <w:pStyle w:val="10"/>
        <w:tabs>
          <w:tab w:val="right" w:leader="dot" w:pos="9412"/>
        </w:tabs>
        <w:ind w:firstLine="420" w:firstLineChars="200"/>
      </w:pPr>
      <w:r>
        <w:fldChar w:fldCharType="begin"/>
      </w:r>
      <w:r>
        <w:instrText xml:space="preserve"> HYPERLINK \l "_Toc3042" </w:instrText>
      </w:r>
      <w:r>
        <w:fldChar w:fldCharType="separate"/>
      </w:r>
      <w:r>
        <w:rPr>
          <w:rFonts w:hint="eastAsia" w:ascii="微软雅黑" w:hAnsi="微软雅黑" w:eastAsia="微软雅黑"/>
        </w:rPr>
        <w:t>一、评比内容</w:t>
      </w:r>
      <w:r>
        <w:tab/>
      </w:r>
      <w:r>
        <w:fldChar w:fldCharType="begin"/>
      </w:r>
      <w:r>
        <w:instrText xml:space="preserve"> PAGEREF _Toc3042 \h </w:instrText>
      </w:r>
      <w:r>
        <w:fldChar w:fldCharType="separate"/>
      </w:r>
      <w:r>
        <w:t>1</w:t>
      </w:r>
      <w:r>
        <w:fldChar w:fldCharType="end"/>
      </w:r>
      <w:r>
        <w:fldChar w:fldCharType="end"/>
      </w:r>
    </w:p>
    <w:p>
      <w:pPr>
        <w:pStyle w:val="10"/>
        <w:tabs>
          <w:tab w:val="right" w:leader="dot" w:pos="9412"/>
        </w:tabs>
        <w:ind w:firstLine="420" w:firstLineChars="200"/>
      </w:pPr>
      <w:r>
        <w:fldChar w:fldCharType="begin"/>
      </w:r>
      <w:r>
        <w:instrText xml:space="preserve"> HYPERLINK \l "_Toc14949" </w:instrText>
      </w:r>
      <w:r>
        <w:fldChar w:fldCharType="separate"/>
      </w:r>
      <w:r>
        <w:rPr>
          <w:rFonts w:ascii="微软雅黑" w:hAnsi="微软雅黑" w:eastAsia="微软雅黑"/>
        </w:rPr>
        <w:t>二、供应商资格条件</w:t>
      </w:r>
      <w:r>
        <w:tab/>
      </w:r>
      <w:r>
        <w:fldChar w:fldCharType="begin"/>
      </w:r>
      <w:r>
        <w:instrText xml:space="preserve"> PAGEREF _Toc14949 \h </w:instrText>
      </w:r>
      <w:r>
        <w:fldChar w:fldCharType="separate"/>
      </w:r>
      <w:r>
        <w:t>1</w:t>
      </w:r>
      <w:r>
        <w:fldChar w:fldCharType="end"/>
      </w:r>
      <w:r>
        <w:fldChar w:fldCharType="end"/>
      </w:r>
    </w:p>
    <w:p>
      <w:pPr>
        <w:pStyle w:val="10"/>
        <w:tabs>
          <w:tab w:val="right" w:leader="dot" w:pos="9412"/>
        </w:tabs>
        <w:ind w:firstLine="420" w:firstLineChars="200"/>
      </w:pPr>
      <w:r>
        <w:fldChar w:fldCharType="begin"/>
      </w:r>
      <w:r>
        <w:instrText xml:space="preserve"> HYPERLINK \l "_Toc28087" </w:instrText>
      </w:r>
      <w:r>
        <w:fldChar w:fldCharType="separate"/>
      </w:r>
      <w:r>
        <w:rPr>
          <w:rFonts w:ascii="微软雅黑" w:hAnsi="微软雅黑" w:eastAsia="微软雅黑"/>
        </w:rPr>
        <w:t>三</w:t>
      </w:r>
      <w:r>
        <w:rPr>
          <w:rFonts w:hint="eastAsia" w:ascii="微软雅黑" w:hAnsi="微软雅黑" w:eastAsia="微软雅黑"/>
        </w:rPr>
        <w:t>、评比</w:t>
      </w:r>
      <w:r>
        <w:rPr>
          <w:rFonts w:ascii="微软雅黑" w:hAnsi="微软雅黑" w:eastAsia="微软雅黑"/>
        </w:rPr>
        <w:t>有关说明</w:t>
      </w:r>
      <w:r>
        <w:tab/>
      </w:r>
      <w:r>
        <w:fldChar w:fldCharType="begin"/>
      </w:r>
      <w:r>
        <w:instrText xml:space="preserve"> PAGEREF _Toc28087 \h </w:instrText>
      </w:r>
      <w:r>
        <w:fldChar w:fldCharType="separate"/>
      </w:r>
      <w:r>
        <w:t>1</w:t>
      </w:r>
      <w:r>
        <w:fldChar w:fldCharType="end"/>
      </w:r>
      <w:r>
        <w:fldChar w:fldCharType="end"/>
      </w:r>
    </w:p>
    <w:p>
      <w:pPr>
        <w:pStyle w:val="10"/>
        <w:tabs>
          <w:tab w:val="right" w:leader="dot" w:pos="9412"/>
        </w:tabs>
        <w:ind w:firstLine="420" w:firstLineChars="200"/>
      </w:pPr>
      <w:r>
        <w:fldChar w:fldCharType="begin"/>
      </w:r>
      <w:r>
        <w:instrText xml:space="preserve"> HYPERLINK \l "_Toc8539" </w:instrText>
      </w:r>
      <w:r>
        <w:fldChar w:fldCharType="separate"/>
      </w:r>
      <w:r>
        <w:rPr>
          <w:rFonts w:hint="eastAsia" w:ascii="微软雅黑" w:hAnsi="微软雅黑" w:eastAsia="微软雅黑"/>
        </w:rPr>
        <w:t>四、其他</w:t>
      </w:r>
      <w:r>
        <w:rPr>
          <w:rFonts w:ascii="微软雅黑" w:hAnsi="微软雅黑" w:eastAsia="微软雅黑"/>
        </w:rPr>
        <w:t>有关规定</w:t>
      </w:r>
      <w:r>
        <w:tab/>
      </w:r>
      <w:r>
        <w:fldChar w:fldCharType="begin"/>
      </w:r>
      <w:r>
        <w:instrText xml:space="preserve"> PAGEREF _Toc8539 \h </w:instrText>
      </w:r>
      <w:r>
        <w:fldChar w:fldCharType="separate"/>
      </w:r>
      <w:r>
        <w:t>1</w:t>
      </w:r>
      <w:r>
        <w:fldChar w:fldCharType="end"/>
      </w:r>
      <w:r>
        <w:fldChar w:fldCharType="end"/>
      </w:r>
    </w:p>
    <w:p>
      <w:pPr>
        <w:pStyle w:val="10"/>
        <w:tabs>
          <w:tab w:val="right" w:leader="dot" w:pos="9412"/>
        </w:tabs>
        <w:ind w:firstLine="420" w:firstLineChars="200"/>
      </w:pPr>
      <w:r>
        <w:fldChar w:fldCharType="begin"/>
      </w:r>
      <w:r>
        <w:instrText xml:space="preserve"> HYPERLINK \l "_Toc16147" </w:instrText>
      </w:r>
      <w:r>
        <w:fldChar w:fldCharType="separate"/>
      </w:r>
      <w:r>
        <w:rPr>
          <w:rFonts w:hint="eastAsia" w:ascii="微软雅黑" w:hAnsi="微软雅黑" w:eastAsia="微软雅黑"/>
        </w:rPr>
        <w:t>五</w:t>
      </w:r>
      <w:r>
        <w:rPr>
          <w:rFonts w:ascii="微软雅黑" w:hAnsi="微软雅黑" w:eastAsia="微软雅黑"/>
        </w:rPr>
        <w:t>、采购人联系方式</w:t>
      </w:r>
      <w:r>
        <w:tab/>
      </w:r>
      <w:r>
        <w:fldChar w:fldCharType="begin"/>
      </w:r>
      <w:r>
        <w:instrText xml:space="preserve"> PAGEREF _Toc16147 \h </w:instrText>
      </w:r>
      <w:r>
        <w:fldChar w:fldCharType="separate"/>
      </w:r>
      <w:r>
        <w:t>2</w:t>
      </w:r>
      <w:r>
        <w:fldChar w:fldCharType="end"/>
      </w:r>
      <w:r>
        <w:fldChar w:fldCharType="end"/>
      </w:r>
    </w:p>
    <w:p>
      <w:pPr>
        <w:pStyle w:val="10"/>
        <w:tabs>
          <w:tab w:val="right" w:leader="dot" w:pos="9412"/>
        </w:tabs>
      </w:pPr>
      <w:r>
        <w:fldChar w:fldCharType="begin"/>
      </w:r>
      <w:r>
        <w:instrText xml:space="preserve"> HYPERLINK \l "_Toc9589" </w:instrText>
      </w:r>
      <w:r>
        <w:fldChar w:fldCharType="separate"/>
      </w:r>
      <w:r>
        <w:rPr>
          <w:rFonts w:ascii="微软雅黑" w:hAnsi="微软雅黑" w:eastAsia="微软雅黑"/>
          <w:szCs w:val="36"/>
        </w:rPr>
        <w:t>第二</w:t>
      </w:r>
      <w:r>
        <w:rPr>
          <w:rFonts w:hint="eastAsia" w:ascii="微软雅黑" w:hAnsi="微软雅黑" w:eastAsia="微软雅黑"/>
          <w:szCs w:val="36"/>
        </w:rPr>
        <w:t>篇</w:t>
      </w:r>
      <w:r>
        <w:rPr>
          <w:rFonts w:ascii="微软雅黑" w:hAnsi="微软雅黑" w:eastAsia="微软雅黑"/>
          <w:szCs w:val="36"/>
        </w:rPr>
        <w:t xml:space="preserve"> 项目服务要求</w:t>
      </w:r>
      <w:r>
        <w:tab/>
      </w:r>
      <w:r>
        <w:fldChar w:fldCharType="begin"/>
      </w:r>
      <w:r>
        <w:instrText xml:space="preserve"> PAGEREF _Toc9589 \h </w:instrText>
      </w:r>
      <w:r>
        <w:fldChar w:fldCharType="separate"/>
      </w:r>
      <w:r>
        <w:t>3</w:t>
      </w:r>
      <w:r>
        <w:fldChar w:fldCharType="end"/>
      </w:r>
      <w:r>
        <w:fldChar w:fldCharType="end"/>
      </w:r>
    </w:p>
    <w:p>
      <w:pPr>
        <w:pStyle w:val="10"/>
        <w:tabs>
          <w:tab w:val="right" w:leader="dot" w:pos="9412"/>
        </w:tabs>
        <w:ind w:firstLine="420" w:firstLineChars="200"/>
      </w:pPr>
      <w:r>
        <w:fldChar w:fldCharType="begin"/>
      </w:r>
      <w:r>
        <w:instrText xml:space="preserve"> HYPERLINK \l "_Toc28290" </w:instrText>
      </w:r>
      <w:r>
        <w:fldChar w:fldCharType="separate"/>
      </w:r>
      <w:r>
        <w:rPr>
          <w:rFonts w:hint="eastAsia" w:ascii="微软雅黑" w:hAnsi="微软雅黑" w:eastAsia="微软雅黑"/>
        </w:rPr>
        <w:t>一</w:t>
      </w:r>
      <w:r>
        <w:rPr>
          <w:rFonts w:ascii="微软雅黑" w:hAnsi="微软雅黑" w:eastAsia="微软雅黑"/>
        </w:rPr>
        <w:t>、</w:t>
      </w:r>
      <w:r>
        <w:rPr>
          <w:rFonts w:hint="eastAsia" w:ascii="微软雅黑" w:hAnsi="微软雅黑" w:eastAsia="微软雅黑"/>
        </w:rPr>
        <w:t>采购</w:t>
      </w:r>
      <w:r>
        <w:rPr>
          <w:rFonts w:ascii="微软雅黑" w:hAnsi="微软雅黑" w:eastAsia="微软雅黑"/>
        </w:rPr>
        <w:t>内容</w:t>
      </w:r>
      <w:r>
        <w:tab/>
      </w:r>
      <w:r>
        <w:fldChar w:fldCharType="begin"/>
      </w:r>
      <w:r>
        <w:instrText xml:space="preserve"> PAGEREF _Toc28290 \h </w:instrText>
      </w:r>
      <w:r>
        <w:fldChar w:fldCharType="separate"/>
      </w:r>
      <w:r>
        <w:t>3</w:t>
      </w:r>
      <w:r>
        <w:fldChar w:fldCharType="end"/>
      </w:r>
      <w:r>
        <w:fldChar w:fldCharType="end"/>
      </w:r>
    </w:p>
    <w:p>
      <w:pPr>
        <w:pStyle w:val="10"/>
        <w:tabs>
          <w:tab w:val="right" w:leader="dot" w:pos="9412"/>
        </w:tabs>
        <w:ind w:firstLine="420" w:firstLineChars="200"/>
      </w:pPr>
      <w:r>
        <w:fldChar w:fldCharType="begin"/>
      </w:r>
      <w:r>
        <w:instrText xml:space="preserve"> HYPERLINK \l "_Toc20670" </w:instrText>
      </w:r>
      <w:r>
        <w:fldChar w:fldCharType="separate"/>
      </w:r>
      <w:r>
        <w:rPr>
          <w:rFonts w:hint="eastAsia" w:ascii="微软雅黑" w:hAnsi="微软雅黑" w:eastAsia="微软雅黑"/>
        </w:rPr>
        <w:t>二</w:t>
      </w:r>
      <w:r>
        <w:rPr>
          <w:rFonts w:ascii="微软雅黑" w:hAnsi="微软雅黑" w:eastAsia="微软雅黑"/>
        </w:rPr>
        <w:t>、</w:t>
      </w:r>
      <w:r>
        <w:rPr>
          <w:rFonts w:hint="eastAsia" w:ascii="微软雅黑" w:hAnsi="微软雅黑" w:eastAsia="微软雅黑"/>
        </w:rPr>
        <w:t>项目主要内容及要求</w:t>
      </w:r>
      <w:r>
        <w:tab/>
      </w:r>
      <w:r>
        <w:fldChar w:fldCharType="begin"/>
      </w:r>
      <w:r>
        <w:instrText xml:space="preserve"> PAGEREF _Toc20670 \h </w:instrText>
      </w:r>
      <w:r>
        <w:fldChar w:fldCharType="separate"/>
      </w:r>
      <w:r>
        <w:t>3</w:t>
      </w:r>
      <w:r>
        <w:fldChar w:fldCharType="end"/>
      </w:r>
      <w:r>
        <w:fldChar w:fldCharType="end"/>
      </w:r>
    </w:p>
    <w:p>
      <w:pPr>
        <w:pStyle w:val="10"/>
        <w:tabs>
          <w:tab w:val="right" w:leader="dot" w:pos="9412"/>
        </w:tabs>
        <w:ind w:firstLine="420" w:firstLineChars="200"/>
      </w:pPr>
      <w:r>
        <w:fldChar w:fldCharType="begin"/>
      </w:r>
      <w:r>
        <w:instrText xml:space="preserve"> HYPERLINK \l "_Toc24918" </w:instrText>
      </w:r>
      <w:r>
        <w:fldChar w:fldCharType="separate"/>
      </w:r>
      <w:r>
        <w:rPr>
          <w:rFonts w:hint="eastAsia" w:ascii="微软雅黑" w:hAnsi="微软雅黑" w:eastAsia="微软雅黑"/>
        </w:rPr>
        <w:t>三、服务期限</w:t>
      </w:r>
      <w:r>
        <w:tab/>
      </w:r>
      <w:r>
        <w:fldChar w:fldCharType="begin"/>
      </w:r>
      <w:r>
        <w:instrText xml:space="preserve"> PAGEREF _Toc24918 \h </w:instrText>
      </w:r>
      <w:r>
        <w:fldChar w:fldCharType="separate"/>
      </w:r>
      <w:r>
        <w:t>3</w:t>
      </w:r>
      <w:r>
        <w:fldChar w:fldCharType="end"/>
      </w:r>
      <w:r>
        <w:fldChar w:fldCharType="end"/>
      </w:r>
    </w:p>
    <w:p>
      <w:pPr>
        <w:pStyle w:val="10"/>
        <w:tabs>
          <w:tab w:val="right" w:leader="dot" w:pos="9412"/>
        </w:tabs>
        <w:ind w:firstLine="420" w:firstLineChars="200"/>
      </w:pPr>
      <w:r>
        <w:fldChar w:fldCharType="begin"/>
      </w:r>
      <w:r>
        <w:instrText xml:space="preserve"> HYPERLINK \l "_Toc10860" </w:instrText>
      </w:r>
      <w:r>
        <w:fldChar w:fldCharType="separate"/>
      </w:r>
      <w:r>
        <w:rPr>
          <w:rFonts w:hint="eastAsia" w:ascii="微软雅黑" w:hAnsi="微软雅黑" w:eastAsia="微软雅黑"/>
        </w:rPr>
        <w:t>四</w:t>
      </w:r>
      <w:r>
        <w:rPr>
          <w:rFonts w:ascii="微软雅黑" w:hAnsi="微软雅黑" w:eastAsia="微软雅黑"/>
        </w:rPr>
        <w:t>、采购方式</w:t>
      </w:r>
      <w:r>
        <w:tab/>
      </w:r>
      <w:r>
        <w:fldChar w:fldCharType="begin"/>
      </w:r>
      <w:r>
        <w:instrText xml:space="preserve"> PAGEREF _Toc10860 \h </w:instrText>
      </w:r>
      <w:r>
        <w:fldChar w:fldCharType="separate"/>
      </w:r>
      <w:r>
        <w:t>3</w:t>
      </w:r>
      <w:r>
        <w:fldChar w:fldCharType="end"/>
      </w:r>
      <w:r>
        <w:fldChar w:fldCharType="end"/>
      </w:r>
    </w:p>
    <w:p>
      <w:pPr>
        <w:pStyle w:val="10"/>
        <w:tabs>
          <w:tab w:val="right" w:leader="dot" w:pos="9412"/>
        </w:tabs>
        <w:ind w:firstLine="420" w:firstLineChars="200"/>
      </w:pPr>
      <w:r>
        <w:fldChar w:fldCharType="begin"/>
      </w:r>
      <w:r>
        <w:instrText xml:space="preserve"> HYPERLINK \l "_Toc6293" </w:instrText>
      </w:r>
      <w:r>
        <w:fldChar w:fldCharType="separate"/>
      </w:r>
      <w:r>
        <w:rPr>
          <w:rFonts w:hint="eastAsia" w:ascii="微软雅黑" w:hAnsi="微软雅黑" w:eastAsia="微软雅黑"/>
        </w:rPr>
        <w:t>五</w:t>
      </w:r>
      <w:r>
        <w:rPr>
          <w:rFonts w:ascii="微软雅黑" w:hAnsi="微软雅黑" w:eastAsia="微软雅黑"/>
        </w:rPr>
        <w:t>、违约责任</w:t>
      </w:r>
      <w:r>
        <w:tab/>
      </w:r>
      <w:r>
        <w:fldChar w:fldCharType="begin"/>
      </w:r>
      <w:r>
        <w:instrText xml:space="preserve"> PAGEREF _Toc6293 \h </w:instrText>
      </w:r>
      <w:r>
        <w:fldChar w:fldCharType="separate"/>
      </w:r>
      <w:r>
        <w:t>3</w:t>
      </w:r>
      <w:r>
        <w:fldChar w:fldCharType="end"/>
      </w:r>
      <w:r>
        <w:fldChar w:fldCharType="end"/>
      </w:r>
    </w:p>
    <w:p>
      <w:pPr>
        <w:pStyle w:val="10"/>
        <w:tabs>
          <w:tab w:val="right" w:leader="dot" w:pos="9412"/>
        </w:tabs>
      </w:pPr>
      <w:r>
        <w:fldChar w:fldCharType="begin"/>
      </w:r>
      <w:r>
        <w:instrText xml:space="preserve"> HYPERLINK \l "_Toc19340" </w:instrText>
      </w:r>
      <w:r>
        <w:fldChar w:fldCharType="separate"/>
      </w:r>
      <w:r>
        <w:rPr>
          <w:rFonts w:ascii="微软雅黑" w:hAnsi="微软雅黑" w:eastAsia="微软雅黑"/>
          <w:szCs w:val="36"/>
        </w:rPr>
        <w:t>第三</w:t>
      </w:r>
      <w:r>
        <w:rPr>
          <w:rFonts w:hint="eastAsia" w:ascii="微软雅黑" w:hAnsi="微软雅黑" w:eastAsia="微软雅黑"/>
          <w:szCs w:val="36"/>
        </w:rPr>
        <w:t>篇</w:t>
      </w:r>
      <w:r>
        <w:rPr>
          <w:rFonts w:ascii="微软雅黑" w:hAnsi="微软雅黑" w:eastAsia="微软雅黑"/>
          <w:szCs w:val="36"/>
        </w:rPr>
        <w:t xml:space="preserve"> </w:t>
      </w:r>
      <w:r>
        <w:rPr>
          <w:rFonts w:hint="eastAsia" w:ascii="微软雅黑" w:hAnsi="微软雅黑" w:eastAsia="微软雅黑"/>
          <w:szCs w:val="36"/>
        </w:rPr>
        <w:t>评比</w:t>
      </w:r>
      <w:r>
        <w:rPr>
          <w:rFonts w:ascii="微软雅黑" w:hAnsi="微软雅黑" w:eastAsia="微软雅黑"/>
          <w:szCs w:val="36"/>
        </w:rPr>
        <w:t>程序及评审标准</w:t>
      </w:r>
      <w:r>
        <w:tab/>
      </w:r>
      <w:r>
        <w:fldChar w:fldCharType="begin"/>
      </w:r>
      <w:r>
        <w:instrText xml:space="preserve"> PAGEREF _Toc19340 \h </w:instrText>
      </w:r>
      <w:r>
        <w:fldChar w:fldCharType="separate"/>
      </w:r>
      <w:r>
        <w:t>4</w:t>
      </w:r>
      <w:r>
        <w:fldChar w:fldCharType="end"/>
      </w:r>
      <w:r>
        <w:fldChar w:fldCharType="end"/>
      </w:r>
    </w:p>
    <w:p>
      <w:pPr>
        <w:pStyle w:val="10"/>
        <w:tabs>
          <w:tab w:val="right" w:leader="dot" w:pos="9412"/>
        </w:tabs>
        <w:ind w:firstLine="420" w:firstLineChars="200"/>
      </w:pPr>
      <w:r>
        <w:fldChar w:fldCharType="begin"/>
      </w:r>
      <w:r>
        <w:instrText xml:space="preserve"> HYPERLINK \l "_Toc27974" </w:instrText>
      </w:r>
      <w:r>
        <w:fldChar w:fldCharType="separate"/>
      </w:r>
      <w:r>
        <w:rPr>
          <w:rFonts w:ascii="微软雅黑" w:hAnsi="微软雅黑" w:eastAsia="微软雅黑"/>
        </w:rPr>
        <w:t>一、</w:t>
      </w:r>
      <w:r>
        <w:rPr>
          <w:rFonts w:hint="eastAsia" w:ascii="微软雅黑" w:hAnsi="微软雅黑" w:eastAsia="微软雅黑"/>
        </w:rPr>
        <w:t>评比</w:t>
      </w:r>
      <w:r>
        <w:rPr>
          <w:rFonts w:ascii="微软雅黑" w:hAnsi="微软雅黑" w:eastAsia="微软雅黑"/>
        </w:rPr>
        <w:t>程序及方法</w:t>
      </w:r>
      <w:r>
        <w:tab/>
      </w:r>
      <w:r>
        <w:fldChar w:fldCharType="begin"/>
      </w:r>
      <w:r>
        <w:instrText xml:space="preserve"> PAGEREF _Toc27974 \h </w:instrText>
      </w:r>
      <w:r>
        <w:fldChar w:fldCharType="separate"/>
      </w:r>
      <w:r>
        <w:t>4</w:t>
      </w:r>
      <w:r>
        <w:fldChar w:fldCharType="end"/>
      </w:r>
      <w:r>
        <w:fldChar w:fldCharType="end"/>
      </w:r>
    </w:p>
    <w:p>
      <w:pPr>
        <w:pStyle w:val="10"/>
        <w:tabs>
          <w:tab w:val="right" w:leader="dot" w:pos="9412"/>
        </w:tabs>
        <w:ind w:firstLine="420" w:firstLineChars="200"/>
      </w:pPr>
      <w:r>
        <w:fldChar w:fldCharType="begin"/>
      </w:r>
      <w:r>
        <w:instrText xml:space="preserve"> HYPERLINK \l "_Toc32615" </w:instrText>
      </w:r>
      <w:r>
        <w:fldChar w:fldCharType="separate"/>
      </w:r>
      <w:r>
        <w:rPr>
          <w:rFonts w:ascii="微软雅黑" w:hAnsi="微软雅黑" w:eastAsia="微软雅黑"/>
        </w:rPr>
        <w:t>二、评审标准</w:t>
      </w:r>
      <w:r>
        <w:tab/>
      </w:r>
      <w:r>
        <w:fldChar w:fldCharType="begin"/>
      </w:r>
      <w:r>
        <w:instrText xml:space="preserve"> PAGEREF _Toc32615 \h </w:instrText>
      </w:r>
      <w:r>
        <w:fldChar w:fldCharType="separate"/>
      </w:r>
      <w:r>
        <w:t>5</w:t>
      </w:r>
      <w:r>
        <w:fldChar w:fldCharType="end"/>
      </w:r>
      <w:r>
        <w:fldChar w:fldCharType="end"/>
      </w:r>
    </w:p>
    <w:p>
      <w:pPr>
        <w:pStyle w:val="10"/>
        <w:tabs>
          <w:tab w:val="right" w:leader="dot" w:pos="9412"/>
        </w:tabs>
        <w:ind w:firstLine="420" w:firstLineChars="200"/>
      </w:pPr>
      <w:r>
        <w:fldChar w:fldCharType="begin"/>
      </w:r>
      <w:r>
        <w:instrText xml:space="preserve"> HYPERLINK \l "_Toc11654" </w:instrText>
      </w:r>
      <w:r>
        <w:fldChar w:fldCharType="separate"/>
      </w:r>
      <w:r>
        <w:rPr>
          <w:rFonts w:ascii="微软雅黑" w:hAnsi="微软雅黑" w:eastAsia="微软雅黑"/>
        </w:rPr>
        <w:t>三、无效响应</w:t>
      </w:r>
      <w:r>
        <w:tab/>
      </w:r>
      <w:r>
        <w:fldChar w:fldCharType="begin"/>
      </w:r>
      <w:r>
        <w:instrText xml:space="preserve"> PAGEREF _Toc11654 \h </w:instrText>
      </w:r>
      <w:r>
        <w:fldChar w:fldCharType="separate"/>
      </w:r>
      <w:r>
        <w:t>6</w:t>
      </w:r>
      <w:r>
        <w:fldChar w:fldCharType="end"/>
      </w:r>
      <w:r>
        <w:fldChar w:fldCharType="end"/>
      </w:r>
    </w:p>
    <w:p>
      <w:pPr>
        <w:pStyle w:val="10"/>
        <w:tabs>
          <w:tab w:val="right" w:leader="dot" w:pos="9412"/>
        </w:tabs>
        <w:ind w:firstLine="420" w:firstLineChars="200"/>
      </w:pPr>
      <w:r>
        <w:fldChar w:fldCharType="begin"/>
      </w:r>
      <w:r>
        <w:instrText xml:space="preserve"> HYPERLINK \l "_Toc22103" </w:instrText>
      </w:r>
      <w:r>
        <w:fldChar w:fldCharType="separate"/>
      </w:r>
      <w:r>
        <w:rPr>
          <w:rFonts w:ascii="微软雅黑" w:hAnsi="微软雅黑" w:eastAsia="微软雅黑"/>
        </w:rPr>
        <w:t>四、采购终止</w:t>
      </w:r>
      <w:r>
        <w:tab/>
      </w:r>
      <w:r>
        <w:fldChar w:fldCharType="begin"/>
      </w:r>
      <w:r>
        <w:instrText xml:space="preserve"> PAGEREF _Toc22103 \h </w:instrText>
      </w:r>
      <w:r>
        <w:fldChar w:fldCharType="separate"/>
      </w:r>
      <w:r>
        <w:t>6</w:t>
      </w:r>
      <w:r>
        <w:fldChar w:fldCharType="end"/>
      </w:r>
      <w:r>
        <w:fldChar w:fldCharType="end"/>
      </w:r>
    </w:p>
    <w:p>
      <w:pPr>
        <w:pStyle w:val="10"/>
        <w:tabs>
          <w:tab w:val="right" w:leader="dot" w:pos="9412"/>
        </w:tabs>
      </w:pPr>
      <w:r>
        <w:fldChar w:fldCharType="begin"/>
      </w:r>
      <w:r>
        <w:instrText xml:space="preserve"> HYPERLINK \l "_Toc24647" </w:instrText>
      </w:r>
      <w:r>
        <w:fldChar w:fldCharType="separate"/>
      </w:r>
      <w:r>
        <w:rPr>
          <w:rFonts w:ascii="微软雅黑" w:hAnsi="微软雅黑" w:eastAsia="微软雅黑"/>
          <w:szCs w:val="36"/>
        </w:rPr>
        <w:t>第四</w:t>
      </w:r>
      <w:r>
        <w:rPr>
          <w:rFonts w:hint="eastAsia" w:ascii="微软雅黑" w:hAnsi="微软雅黑" w:eastAsia="微软雅黑"/>
          <w:szCs w:val="36"/>
        </w:rPr>
        <w:t>篇</w:t>
      </w:r>
      <w:r>
        <w:rPr>
          <w:rFonts w:ascii="微软雅黑" w:hAnsi="微软雅黑" w:eastAsia="微软雅黑"/>
          <w:szCs w:val="36"/>
        </w:rPr>
        <w:t xml:space="preserve">  供应商须知</w:t>
      </w:r>
      <w:r>
        <w:tab/>
      </w:r>
      <w:r>
        <w:fldChar w:fldCharType="begin"/>
      </w:r>
      <w:r>
        <w:instrText xml:space="preserve"> PAGEREF _Toc24647 \h </w:instrText>
      </w:r>
      <w:r>
        <w:fldChar w:fldCharType="separate"/>
      </w:r>
      <w:r>
        <w:t>7</w:t>
      </w:r>
      <w:r>
        <w:fldChar w:fldCharType="end"/>
      </w:r>
      <w:r>
        <w:fldChar w:fldCharType="end"/>
      </w:r>
    </w:p>
    <w:p>
      <w:pPr>
        <w:pStyle w:val="10"/>
        <w:tabs>
          <w:tab w:val="right" w:leader="dot" w:pos="9412"/>
        </w:tabs>
        <w:ind w:firstLine="420" w:firstLineChars="200"/>
      </w:pPr>
      <w:r>
        <w:fldChar w:fldCharType="begin"/>
      </w:r>
      <w:r>
        <w:instrText xml:space="preserve"> HYPERLINK \l "_Toc7036" </w:instrText>
      </w:r>
      <w:r>
        <w:fldChar w:fldCharType="separate"/>
      </w:r>
      <w:r>
        <w:rPr>
          <w:rFonts w:ascii="微软雅黑" w:hAnsi="微软雅黑" w:eastAsia="微软雅黑"/>
        </w:rPr>
        <w:t>一、响应文件</w:t>
      </w:r>
      <w:r>
        <w:tab/>
      </w:r>
      <w:r>
        <w:fldChar w:fldCharType="begin"/>
      </w:r>
      <w:r>
        <w:instrText xml:space="preserve"> PAGEREF _Toc7036 \h </w:instrText>
      </w:r>
      <w:r>
        <w:fldChar w:fldCharType="separate"/>
      </w:r>
      <w:r>
        <w:t>7</w:t>
      </w:r>
      <w:r>
        <w:fldChar w:fldCharType="end"/>
      </w:r>
      <w:r>
        <w:fldChar w:fldCharType="end"/>
      </w:r>
    </w:p>
    <w:p>
      <w:pPr>
        <w:pStyle w:val="10"/>
        <w:tabs>
          <w:tab w:val="right" w:leader="dot" w:pos="9412"/>
        </w:tabs>
        <w:ind w:firstLine="420" w:firstLineChars="200"/>
      </w:pPr>
      <w:r>
        <w:fldChar w:fldCharType="begin"/>
      </w:r>
      <w:r>
        <w:instrText xml:space="preserve"> HYPERLINK \l "_Toc27711" </w:instrText>
      </w:r>
      <w:r>
        <w:fldChar w:fldCharType="separate"/>
      </w:r>
      <w:r>
        <w:rPr>
          <w:rFonts w:ascii="微软雅黑" w:hAnsi="微软雅黑" w:eastAsia="微软雅黑"/>
        </w:rPr>
        <w:t>二、</w:t>
      </w:r>
      <w:r>
        <w:rPr>
          <w:rFonts w:hint="eastAsia" w:ascii="微软雅黑" w:hAnsi="微软雅黑" w:eastAsia="微软雅黑"/>
        </w:rPr>
        <w:t>评比</w:t>
      </w:r>
      <w:r>
        <w:rPr>
          <w:rFonts w:ascii="微软雅黑" w:hAnsi="微软雅黑" w:eastAsia="微软雅黑"/>
        </w:rPr>
        <w:t>有效期</w:t>
      </w:r>
      <w:r>
        <w:tab/>
      </w:r>
      <w:r>
        <w:fldChar w:fldCharType="begin"/>
      </w:r>
      <w:r>
        <w:instrText xml:space="preserve"> PAGEREF _Toc27711 \h </w:instrText>
      </w:r>
      <w:r>
        <w:fldChar w:fldCharType="separate"/>
      </w:r>
      <w:r>
        <w:t>7</w:t>
      </w:r>
      <w:r>
        <w:fldChar w:fldCharType="end"/>
      </w:r>
      <w:r>
        <w:fldChar w:fldCharType="end"/>
      </w:r>
    </w:p>
    <w:p>
      <w:pPr>
        <w:pStyle w:val="10"/>
        <w:tabs>
          <w:tab w:val="right" w:leader="dot" w:pos="9412"/>
        </w:tabs>
        <w:ind w:firstLine="420" w:firstLineChars="200"/>
      </w:pPr>
      <w:r>
        <w:fldChar w:fldCharType="begin"/>
      </w:r>
      <w:r>
        <w:instrText xml:space="preserve"> HYPERLINK \l "_Toc2687" </w:instrText>
      </w:r>
      <w:r>
        <w:fldChar w:fldCharType="separate"/>
      </w:r>
      <w:r>
        <w:rPr>
          <w:rFonts w:ascii="微软雅黑" w:hAnsi="微软雅黑" w:eastAsia="微软雅黑"/>
        </w:rPr>
        <w:t>三、提交响应文件的份数和签署</w:t>
      </w:r>
      <w:r>
        <w:tab/>
      </w:r>
      <w:r>
        <w:fldChar w:fldCharType="begin"/>
      </w:r>
      <w:r>
        <w:instrText xml:space="preserve"> PAGEREF _Toc2687 \h </w:instrText>
      </w:r>
      <w:r>
        <w:fldChar w:fldCharType="separate"/>
      </w:r>
      <w:r>
        <w:t>7</w:t>
      </w:r>
      <w:r>
        <w:fldChar w:fldCharType="end"/>
      </w:r>
      <w:r>
        <w:fldChar w:fldCharType="end"/>
      </w:r>
    </w:p>
    <w:p>
      <w:pPr>
        <w:pStyle w:val="10"/>
        <w:tabs>
          <w:tab w:val="right" w:leader="dot" w:pos="9412"/>
        </w:tabs>
        <w:ind w:firstLine="420" w:firstLineChars="200"/>
      </w:pPr>
      <w:r>
        <w:fldChar w:fldCharType="begin"/>
      </w:r>
      <w:r>
        <w:instrText xml:space="preserve"> HYPERLINK \l "_Toc30483" </w:instrText>
      </w:r>
      <w:r>
        <w:fldChar w:fldCharType="separate"/>
      </w:r>
      <w:r>
        <w:rPr>
          <w:rFonts w:ascii="微软雅黑" w:hAnsi="微软雅黑" w:eastAsia="微软雅黑"/>
        </w:rPr>
        <w:t>四、响应文件的递交</w:t>
      </w:r>
      <w:r>
        <w:tab/>
      </w:r>
      <w:r>
        <w:fldChar w:fldCharType="begin"/>
      </w:r>
      <w:r>
        <w:instrText xml:space="preserve"> PAGEREF _Toc30483 \h </w:instrText>
      </w:r>
      <w:r>
        <w:fldChar w:fldCharType="separate"/>
      </w:r>
      <w:r>
        <w:t>7</w:t>
      </w:r>
      <w:r>
        <w:fldChar w:fldCharType="end"/>
      </w:r>
      <w:r>
        <w:fldChar w:fldCharType="end"/>
      </w:r>
    </w:p>
    <w:p>
      <w:pPr>
        <w:pStyle w:val="10"/>
        <w:tabs>
          <w:tab w:val="right" w:leader="dot" w:pos="9412"/>
        </w:tabs>
        <w:ind w:firstLine="420" w:firstLineChars="200"/>
      </w:pPr>
      <w:r>
        <w:fldChar w:fldCharType="begin"/>
      </w:r>
      <w:r>
        <w:instrText xml:space="preserve"> HYPERLINK \l "_Toc14849" </w:instrText>
      </w:r>
      <w:r>
        <w:fldChar w:fldCharType="separate"/>
      </w:r>
      <w:r>
        <w:rPr>
          <w:rFonts w:ascii="微软雅黑" w:hAnsi="微软雅黑" w:eastAsia="微软雅黑"/>
        </w:rPr>
        <w:t>五、中选供应商的确认和变更</w:t>
      </w:r>
      <w:r>
        <w:tab/>
      </w:r>
      <w:r>
        <w:fldChar w:fldCharType="begin"/>
      </w:r>
      <w:r>
        <w:instrText xml:space="preserve"> PAGEREF _Toc14849 \h </w:instrText>
      </w:r>
      <w:r>
        <w:fldChar w:fldCharType="separate"/>
      </w:r>
      <w:r>
        <w:t>8</w:t>
      </w:r>
      <w:r>
        <w:fldChar w:fldCharType="end"/>
      </w:r>
      <w:r>
        <w:fldChar w:fldCharType="end"/>
      </w:r>
    </w:p>
    <w:p>
      <w:pPr>
        <w:pStyle w:val="10"/>
        <w:tabs>
          <w:tab w:val="right" w:leader="dot" w:pos="9412"/>
        </w:tabs>
      </w:pPr>
      <w:r>
        <w:fldChar w:fldCharType="begin"/>
      </w:r>
      <w:r>
        <w:instrText xml:space="preserve"> HYPERLINK \l "_Toc15007" </w:instrText>
      </w:r>
      <w:r>
        <w:fldChar w:fldCharType="separate"/>
      </w:r>
      <w:r>
        <w:rPr>
          <w:rFonts w:ascii="微软雅黑" w:hAnsi="微软雅黑" w:eastAsia="微软雅黑"/>
          <w:szCs w:val="36"/>
        </w:rPr>
        <w:t>第五</w:t>
      </w:r>
      <w:r>
        <w:rPr>
          <w:rFonts w:hint="eastAsia" w:ascii="微软雅黑" w:hAnsi="微软雅黑" w:eastAsia="微软雅黑"/>
          <w:szCs w:val="36"/>
        </w:rPr>
        <w:t>篇</w:t>
      </w:r>
      <w:r>
        <w:rPr>
          <w:rFonts w:ascii="微软雅黑" w:hAnsi="微软雅黑" w:eastAsia="微软雅黑"/>
          <w:szCs w:val="36"/>
        </w:rPr>
        <w:t xml:space="preserve"> 响应文件格式</w:t>
      </w:r>
      <w:r>
        <w:tab/>
      </w:r>
      <w:r>
        <w:fldChar w:fldCharType="begin"/>
      </w:r>
      <w:r>
        <w:instrText xml:space="preserve"> PAGEREF _Toc15007 \h </w:instrText>
      </w:r>
      <w:r>
        <w:fldChar w:fldCharType="separate"/>
      </w:r>
      <w:r>
        <w:t>9</w:t>
      </w:r>
      <w:r>
        <w:fldChar w:fldCharType="end"/>
      </w:r>
      <w: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"_Toc16981" </w:instrText>
      </w:r>
      <w:r>
        <w:fldChar w:fldCharType="separate"/>
      </w:r>
      <w:r>
        <w:rPr>
          <w:rFonts w:hint="eastAsia" w:ascii="微软雅黑" w:hAnsi="微软雅黑" w:eastAsia="微软雅黑"/>
        </w:rPr>
        <w:t>1.投标人简介材料（格式自拟）</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_Toc16981 \h </w:instrText>
      </w:r>
      <w:r>
        <w:rPr>
          <w:rFonts w:ascii="微软雅黑" w:hAnsi="微软雅黑" w:eastAsia="微软雅黑"/>
        </w:rPr>
        <w:fldChar w:fldCharType="separate"/>
      </w:r>
      <w:r>
        <w:rPr>
          <w:rFonts w:ascii="微软雅黑" w:hAnsi="微软雅黑" w:eastAsia="微软雅黑"/>
        </w:rPr>
        <w:t>10</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"_Toc11332" </w:instrText>
      </w:r>
      <w:r>
        <w:fldChar w:fldCharType="separate"/>
      </w:r>
      <w:r>
        <w:rPr>
          <w:rFonts w:hint="eastAsia" w:ascii="微软雅黑" w:hAnsi="微软雅黑" w:eastAsia="微软雅黑"/>
        </w:rPr>
        <w:t>2. 投标项目及价格</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_Toc11332 \h </w:instrText>
      </w:r>
      <w:r>
        <w:rPr>
          <w:rFonts w:ascii="微软雅黑" w:hAnsi="微软雅黑" w:eastAsia="微软雅黑"/>
        </w:rPr>
        <w:fldChar w:fldCharType="separate"/>
      </w:r>
      <w:r>
        <w:rPr>
          <w:rFonts w:ascii="微软雅黑" w:hAnsi="微软雅黑" w:eastAsia="微软雅黑"/>
        </w:rPr>
        <w:t>11</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"_Toc27183" </w:instrText>
      </w:r>
      <w:r>
        <w:fldChar w:fldCharType="separate"/>
      </w:r>
      <w:r>
        <w:rPr>
          <w:rFonts w:hint="eastAsia" w:ascii="微软雅黑" w:hAnsi="微软雅黑" w:eastAsia="微软雅黑"/>
        </w:rPr>
        <w:t>3.类似项目相关证明及案例图</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_Toc27183 \h </w:instrText>
      </w:r>
      <w:r>
        <w:rPr>
          <w:rFonts w:ascii="微软雅黑" w:hAnsi="微软雅黑" w:eastAsia="微软雅黑"/>
        </w:rPr>
        <w:fldChar w:fldCharType="separate"/>
      </w:r>
      <w:r>
        <w:rPr>
          <w:rFonts w:ascii="微软雅黑" w:hAnsi="微软雅黑" w:eastAsia="微软雅黑"/>
        </w:rPr>
        <w:t>13</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"_Toc120" </w:instrText>
      </w:r>
      <w:r>
        <w:fldChar w:fldCharType="separate"/>
      </w:r>
      <w:r>
        <w:rPr>
          <w:rFonts w:hint="eastAsia" w:ascii="微软雅黑" w:hAnsi="微软雅黑" w:eastAsia="微软雅黑"/>
        </w:rPr>
        <w:t>4.网站运营初步服务方案</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_Toc120 \h </w:instrText>
      </w:r>
      <w:r>
        <w:rPr>
          <w:rFonts w:ascii="微软雅黑" w:hAnsi="微软雅黑" w:eastAsia="微软雅黑"/>
        </w:rPr>
        <w:fldChar w:fldCharType="separate"/>
      </w:r>
      <w:r>
        <w:rPr>
          <w:rFonts w:ascii="微软雅黑" w:hAnsi="微软雅黑" w:eastAsia="微软雅黑"/>
        </w:rPr>
        <w:t>14</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"_Toc17390" </w:instrText>
      </w:r>
      <w:r>
        <w:fldChar w:fldCharType="separate"/>
      </w:r>
      <w:r>
        <w:rPr>
          <w:rFonts w:hint="eastAsia" w:ascii="微软雅黑" w:hAnsi="微软雅黑" w:eastAsia="微软雅黑"/>
        </w:rPr>
        <w:t>5. 书面声明（格式）</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_Toc17390 \h </w:instrText>
      </w:r>
      <w:r>
        <w:rPr>
          <w:rFonts w:ascii="微软雅黑" w:hAnsi="微软雅黑" w:eastAsia="微软雅黑"/>
        </w:rPr>
        <w:fldChar w:fldCharType="separate"/>
      </w:r>
      <w:r>
        <w:rPr>
          <w:rFonts w:ascii="微软雅黑" w:hAnsi="微软雅黑" w:eastAsia="微软雅黑"/>
        </w:rPr>
        <w:t>15</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"_Toc17230" </w:instrText>
      </w:r>
      <w:r>
        <w:fldChar w:fldCharType="separate"/>
      </w:r>
      <w:r>
        <w:rPr>
          <w:rFonts w:hint="eastAsia" w:ascii="微软雅黑" w:hAnsi="微软雅黑" w:eastAsia="微软雅黑"/>
        </w:rPr>
        <w:t>6. 依法缴纳税收和社会保障金的证明材料复印件</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_Toc17230 \h </w:instrText>
      </w:r>
      <w:r>
        <w:rPr>
          <w:rFonts w:ascii="微软雅黑" w:hAnsi="微软雅黑" w:eastAsia="微软雅黑"/>
        </w:rPr>
        <w:fldChar w:fldCharType="separate"/>
      </w:r>
      <w:r>
        <w:rPr>
          <w:rFonts w:ascii="微软雅黑" w:hAnsi="微软雅黑" w:eastAsia="微软雅黑"/>
        </w:rPr>
        <w:t>16</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rPr>
          <w:rFonts w:ascii="微软雅黑" w:hAnsi="微软雅黑" w:eastAsia="微软雅黑"/>
        </w:rPr>
      </w:pPr>
      <w:r>
        <w:fldChar w:fldCharType="begin"/>
      </w:r>
      <w:r>
        <w:instrText xml:space="preserve"> HYPERLINK \l "_Toc4567" </w:instrText>
      </w:r>
      <w:r>
        <w:fldChar w:fldCharType="separate"/>
      </w:r>
      <w:r>
        <w:rPr>
          <w:rFonts w:hint="eastAsia" w:ascii="微软雅黑" w:hAnsi="微软雅黑" w:eastAsia="微软雅黑"/>
        </w:rPr>
        <w:t>7. 投标人法定代表人证明书或授权委托函原件材料</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_Toc4567 \h </w:instrText>
      </w:r>
      <w:r>
        <w:rPr>
          <w:rFonts w:ascii="微软雅黑" w:hAnsi="微软雅黑" w:eastAsia="微软雅黑"/>
        </w:rPr>
        <w:fldChar w:fldCharType="separate"/>
      </w:r>
      <w:r>
        <w:rPr>
          <w:rFonts w:ascii="微软雅黑" w:hAnsi="微软雅黑" w:eastAsia="微软雅黑"/>
        </w:rPr>
        <w:t>17</w:t>
      </w:r>
      <w:r>
        <w:rPr>
          <w:rFonts w:ascii="微软雅黑" w:hAnsi="微软雅黑" w:eastAsia="微软雅黑"/>
        </w:rPr>
        <w:fldChar w:fldCharType="end"/>
      </w:r>
      <w:r>
        <w:rPr>
          <w:rFonts w:ascii="微软雅黑" w:hAnsi="微软雅黑" w:eastAsia="微软雅黑"/>
        </w:rPr>
        <w:fldChar w:fldCharType="end"/>
      </w:r>
    </w:p>
    <w:p>
      <w:pPr>
        <w:pStyle w:val="10"/>
        <w:tabs>
          <w:tab w:val="right" w:leader="dot" w:pos="9412"/>
        </w:tabs>
        <w:ind w:firstLine="420" w:firstLineChars="200"/>
      </w:pPr>
      <w:r>
        <w:fldChar w:fldCharType="begin"/>
      </w:r>
      <w:r>
        <w:instrText xml:space="preserve"> HYPERLINK \l "_Toc5517" </w:instrText>
      </w:r>
      <w:r>
        <w:fldChar w:fldCharType="separate"/>
      </w:r>
      <w:r>
        <w:rPr>
          <w:rFonts w:hint="eastAsia" w:ascii="微软雅黑" w:hAnsi="微软雅黑" w:eastAsia="微软雅黑"/>
        </w:rPr>
        <w:t>8.采购人要求提供的其他证明材料</w:t>
      </w:r>
      <w:r>
        <w:rPr>
          <w:rFonts w:ascii="微软雅黑" w:hAnsi="微软雅黑" w:eastAsia="微软雅黑"/>
        </w:rPr>
        <w:tab/>
      </w:r>
      <w:r>
        <w:rPr>
          <w:rFonts w:ascii="微软雅黑" w:hAnsi="微软雅黑" w:eastAsia="微软雅黑"/>
        </w:rPr>
        <w:fldChar w:fldCharType="begin"/>
      </w:r>
      <w:r>
        <w:rPr>
          <w:rFonts w:ascii="微软雅黑" w:hAnsi="微软雅黑" w:eastAsia="微软雅黑"/>
        </w:rPr>
        <w:instrText xml:space="preserve"> PAGEREF _Toc5517 \h </w:instrText>
      </w:r>
      <w:r>
        <w:rPr>
          <w:rFonts w:ascii="微软雅黑" w:hAnsi="微软雅黑" w:eastAsia="微软雅黑"/>
        </w:rPr>
        <w:fldChar w:fldCharType="separate"/>
      </w:r>
      <w:r>
        <w:rPr>
          <w:rFonts w:ascii="微软雅黑" w:hAnsi="微软雅黑" w:eastAsia="微软雅黑"/>
        </w:rPr>
        <w:t>19</w:t>
      </w:r>
      <w:r>
        <w:rPr>
          <w:rFonts w:ascii="微软雅黑" w:hAnsi="微软雅黑" w:eastAsia="微软雅黑"/>
        </w:rPr>
        <w:fldChar w:fldCharType="end"/>
      </w:r>
      <w:r>
        <w:rPr>
          <w:rFonts w:ascii="微软雅黑" w:hAnsi="微软雅黑" w:eastAsia="微软雅黑"/>
        </w:rPr>
        <w:fldChar w:fldCharType="end"/>
      </w:r>
    </w:p>
    <w:p>
      <w:pPr>
        <w:spacing w:line="580" w:lineRule="exact"/>
        <w:ind w:left="1" w:firstLine="1360" w:firstLineChars="648"/>
        <w:rPr>
          <w:rFonts w:eastAsia="微软雅黑"/>
          <w:b/>
          <w:bCs/>
          <w:sz w:val="36"/>
          <w:szCs w:val="36"/>
        </w:rPr>
      </w:pPr>
      <w:r>
        <w:rPr>
          <w:rFonts w:eastAsia="微软雅黑"/>
          <w:bCs/>
          <w:szCs w:val="36"/>
        </w:rPr>
        <w:fldChar w:fldCharType="end"/>
      </w:r>
    </w:p>
    <w:p>
      <w:pPr>
        <w:spacing w:line="520" w:lineRule="exact"/>
        <w:ind w:left="1" w:firstLine="2342" w:firstLineChars="648"/>
        <w:rPr>
          <w:b/>
          <w:bCs/>
          <w:sz w:val="36"/>
          <w:szCs w:val="36"/>
        </w:rPr>
        <w:sectPr>
          <w:footerReference r:id="rId7" w:type="default"/>
          <w:footerReference r:id="rId8" w:type="even"/>
          <w:pgSz w:w="11907" w:h="16840"/>
          <w:pgMar w:top="1134" w:right="1191" w:bottom="1134" w:left="1304" w:header="964" w:footer="992" w:gutter="0"/>
          <w:pgNumType w:start="1"/>
          <w:cols w:space="720" w:num="1"/>
          <w:docGrid w:linePitch="312" w:charSpace="0"/>
        </w:sectPr>
      </w:pPr>
    </w:p>
    <w:p>
      <w:pPr>
        <w:pStyle w:val="4"/>
        <w:jc w:val="center"/>
        <w:rPr>
          <w:rFonts w:ascii="微软雅黑" w:hAnsi="微软雅黑" w:eastAsia="微软雅黑"/>
          <w:b/>
          <w:sz w:val="36"/>
          <w:szCs w:val="36"/>
        </w:rPr>
      </w:pPr>
      <w:bookmarkStart w:id="9" w:name="_Toc11930"/>
      <w:bookmarkStart w:id="10" w:name="_Toc11641050"/>
      <w:bookmarkStart w:id="11" w:name="_Toc12789052"/>
      <w:bookmarkStart w:id="12" w:name="_Toc21722"/>
      <w:bookmarkStart w:id="13" w:name="_Toc104541037"/>
      <w:r>
        <w:rPr>
          <w:rFonts w:hint="eastAsia" w:ascii="微软雅黑" w:hAnsi="微软雅黑" w:eastAsia="微软雅黑"/>
          <w:b/>
          <w:sz w:val="36"/>
          <w:szCs w:val="36"/>
        </w:rPr>
        <w:t>第一篇  评比邀请书</w:t>
      </w:r>
      <w:bookmarkEnd w:id="9"/>
      <w:bookmarkEnd w:id="10"/>
      <w:bookmarkEnd w:id="11"/>
      <w:bookmarkEnd w:id="12"/>
      <w:bookmarkEnd w:id="13"/>
    </w:p>
    <w:p>
      <w:pPr>
        <w:spacing w:line="440" w:lineRule="exact"/>
        <w:ind w:firstLine="420" w:firstLineChars="200"/>
        <w:rPr>
          <w:rFonts w:ascii="微软雅黑" w:hAnsi="微软雅黑" w:eastAsia="微软雅黑"/>
          <w:szCs w:val="21"/>
        </w:rPr>
      </w:pPr>
      <w:r>
        <w:rPr>
          <w:rFonts w:ascii="微软雅黑" w:hAnsi="微软雅黑" w:eastAsia="微软雅黑"/>
          <w:szCs w:val="21"/>
        </w:rPr>
        <w:t>为了公开、公平、公正、高效地完成重庆市招商投资促进局采购项目的招标采购工作，根据《中华人民共和国政府采购法》、《中华人民共和国政府采购法实施条例》等有关规定，我局对</w:t>
      </w:r>
      <w:r>
        <w:rPr>
          <w:rFonts w:hint="eastAsia" w:ascii="微软雅黑" w:hAnsi="微软雅黑" w:eastAsia="微软雅黑"/>
          <w:szCs w:val="21"/>
        </w:rPr>
        <w:t>重庆市招商投资促进局网站维护服务（网址：</w:t>
      </w:r>
      <w:r>
        <w:rPr>
          <w:rFonts w:ascii="微软雅黑" w:hAnsi="微软雅黑" w:eastAsia="微软雅黑"/>
          <w:szCs w:val="21"/>
        </w:rPr>
        <w:t>http://zsj.cq.gov.cn/wap.html</w:t>
      </w:r>
      <w:r>
        <w:rPr>
          <w:rFonts w:hint="eastAsia" w:ascii="微软雅黑" w:hAnsi="微软雅黑" w:eastAsia="微软雅黑"/>
          <w:szCs w:val="21"/>
        </w:rPr>
        <w:t>）</w:t>
      </w:r>
      <w:r>
        <w:rPr>
          <w:rFonts w:ascii="微软雅黑" w:hAnsi="微软雅黑" w:eastAsia="微软雅黑"/>
          <w:szCs w:val="21"/>
        </w:rPr>
        <w:t>项目进行</w:t>
      </w:r>
      <w:r>
        <w:rPr>
          <w:rFonts w:hint="eastAsia" w:ascii="微软雅黑" w:hAnsi="微软雅黑" w:eastAsia="微软雅黑"/>
          <w:szCs w:val="21"/>
        </w:rPr>
        <w:t>评比</w:t>
      </w:r>
      <w:r>
        <w:rPr>
          <w:rFonts w:ascii="微软雅黑" w:hAnsi="微软雅黑" w:eastAsia="微软雅黑"/>
          <w:szCs w:val="21"/>
        </w:rPr>
        <w:t>采购。欢迎</w:t>
      </w:r>
      <w:r>
        <w:rPr>
          <w:rFonts w:hint="eastAsia" w:ascii="微软雅黑" w:hAnsi="微软雅黑" w:eastAsia="微软雅黑"/>
          <w:szCs w:val="21"/>
        </w:rPr>
        <w:t>有</w:t>
      </w:r>
      <w:r>
        <w:rPr>
          <w:rFonts w:ascii="微软雅黑" w:hAnsi="微软雅黑" w:eastAsia="微软雅黑"/>
          <w:szCs w:val="21"/>
        </w:rPr>
        <w:t>资格的供应商前来参与</w:t>
      </w:r>
      <w:r>
        <w:rPr>
          <w:rFonts w:hint="eastAsia" w:ascii="微软雅黑" w:hAnsi="微软雅黑" w:eastAsia="微软雅黑"/>
          <w:szCs w:val="21"/>
        </w:rPr>
        <w:t>评比</w:t>
      </w:r>
      <w:r>
        <w:rPr>
          <w:rFonts w:ascii="微软雅黑" w:hAnsi="微软雅黑" w:eastAsia="微软雅黑"/>
          <w:szCs w:val="21"/>
        </w:rPr>
        <w:t>。</w:t>
      </w:r>
    </w:p>
    <w:p>
      <w:pPr>
        <w:pStyle w:val="4"/>
        <w:spacing w:line="480" w:lineRule="exact"/>
        <w:ind w:firstLine="480" w:firstLineChars="200"/>
        <w:rPr>
          <w:rFonts w:ascii="微软雅黑" w:hAnsi="微软雅黑" w:eastAsia="微软雅黑"/>
          <w:b/>
          <w:sz w:val="24"/>
        </w:rPr>
      </w:pPr>
      <w:bookmarkStart w:id="14" w:name="_Toc25931"/>
      <w:bookmarkStart w:id="15" w:name="_Toc317775175"/>
      <w:bookmarkStart w:id="16" w:name="_Toc3042"/>
      <w:bookmarkStart w:id="17" w:name="_Toc104541038"/>
      <w:bookmarkStart w:id="18" w:name="_Toc313893526"/>
      <w:r>
        <w:rPr>
          <w:rFonts w:hint="eastAsia" w:ascii="微软雅黑" w:hAnsi="微软雅黑" w:eastAsia="微软雅黑"/>
          <w:b/>
          <w:sz w:val="24"/>
        </w:rPr>
        <w:t>一、评比内容</w:t>
      </w:r>
      <w:bookmarkEnd w:id="14"/>
      <w:bookmarkEnd w:id="15"/>
      <w:bookmarkEnd w:id="16"/>
      <w:bookmarkEnd w:id="17"/>
      <w:bookmarkEnd w:id="18"/>
    </w:p>
    <w:tbl>
      <w:tblPr>
        <w:tblStyle w:val="12"/>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409"/>
        <w:gridCol w:w="2126"/>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785" w:type="dxa"/>
            <w:vAlign w:val="center"/>
          </w:tcPr>
          <w:p>
            <w:pPr>
              <w:adjustRightInd w:val="0"/>
              <w:snapToGrid w:val="0"/>
              <w:spacing w:line="580" w:lineRule="exact"/>
              <w:jc w:val="center"/>
              <w:rPr>
                <w:rFonts w:ascii="微软雅黑" w:hAnsi="微软雅黑" w:eastAsia="微软雅黑"/>
                <w:b/>
                <w:sz w:val="24"/>
                <w:szCs w:val="20"/>
              </w:rPr>
            </w:pPr>
            <w:r>
              <w:rPr>
                <w:rFonts w:hint="eastAsia" w:ascii="微软雅黑" w:hAnsi="微软雅黑" w:eastAsia="微软雅黑"/>
                <w:b/>
                <w:sz w:val="24"/>
                <w:szCs w:val="20"/>
              </w:rPr>
              <w:t>采购内容</w:t>
            </w:r>
          </w:p>
        </w:tc>
        <w:tc>
          <w:tcPr>
            <w:tcW w:w="1409" w:type="dxa"/>
            <w:vAlign w:val="center"/>
          </w:tcPr>
          <w:p>
            <w:pPr>
              <w:adjustRightInd w:val="0"/>
              <w:snapToGrid w:val="0"/>
              <w:spacing w:line="580" w:lineRule="exact"/>
              <w:jc w:val="center"/>
              <w:rPr>
                <w:rFonts w:ascii="微软雅黑" w:hAnsi="微软雅黑" w:eastAsia="微软雅黑"/>
                <w:b/>
                <w:sz w:val="24"/>
                <w:szCs w:val="20"/>
              </w:rPr>
            </w:pPr>
            <w:r>
              <w:rPr>
                <w:rFonts w:hint="eastAsia" w:ascii="微软雅黑" w:hAnsi="微软雅黑" w:eastAsia="微软雅黑"/>
                <w:b/>
                <w:sz w:val="24"/>
                <w:szCs w:val="20"/>
              </w:rPr>
              <w:t>服务期限</w:t>
            </w:r>
          </w:p>
        </w:tc>
        <w:tc>
          <w:tcPr>
            <w:tcW w:w="2126" w:type="dxa"/>
          </w:tcPr>
          <w:p>
            <w:pPr>
              <w:adjustRightInd w:val="0"/>
              <w:snapToGrid w:val="0"/>
              <w:spacing w:line="580" w:lineRule="exact"/>
              <w:jc w:val="center"/>
              <w:rPr>
                <w:rFonts w:ascii="微软雅黑" w:hAnsi="微软雅黑" w:eastAsia="微软雅黑"/>
                <w:b/>
                <w:sz w:val="24"/>
                <w:szCs w:val="20"/>
              </w:rPr>
            </w:pPr>
            <w:r>
              <w:rPr>
                <w:rFonts w:hint="eastAsia" w:ascii="微软雅黑" w:hAnsi="微软雅黑" w:eastAsia="微软雅黑"/>
                <w:b/>
                <w:sz w:val="24"/>
                <w:szCs w:val="20"/>
              </w:rPr>
              <w:t>采购</w:t>
            </w:r>
            <w:r>
              <w:rPr>
                <w:rFonts w:ascii="微软雅黑" w:hAnsi="微软雅黑" w:eastAsia="微软雅黑"/>
                <w:b/>
                <w:sz w:val="24"/>
                <w:szCs w:val="20"/>
              </w:rPr>
              <w:t>限价</w:t>
            </w:r>
          </w:p>
        </w:tc>
        <w:tc>
          <w:tcPr>
            <w:tcW w:w="2444" w:type="dxa"/>
          </w:tcPr>
          <w:p>
            <w:pPr>
              <w:adjustRightInd w:val="0"/>
              <w:snapToGrid w:val="0"/>
              <w:spacing w:line="580" w:lineRule="exact"/>
              <w:jc w:val="center"/>
              <w:rPr>
                <w:rFonts w:ascii="微软雅黑" w:hAnsi="微软雅黑" w:eastAsia="微软雅黑"/>
                <w:b/>
                <w:sz w:val="24"/>
                <w:szCs w:val="20"/>
              </w:rPr>
            </w:pPr>
            <w:r>
              <w:rPr>
                <w:rFonts w:hint="eastAsia" w:ascii="微软雅黑" w:hAnsi="微软雅黑" w:eastAsia="微软雅黑"/>
                <w:b/>
                <w:sz w:val="24"/>
                <w:szCs w:val="20"/>
              </w:rPr>
              <w:t>成交</w:t>
            </w:r>
            <w:r>
              <w:rPr>
                <w:rFonts w:ascii="微软雅黑" w:hAnsi="微软雅黑" w:eastAsia="微软雅黑"/>
                <w:b/>
                <w:sz w:val="24"/>
                <w:szCs w:val="20"/>
              </w:rPr>
              <w:t>供应商数量（</w:t>
            </w:r>
            <w:r>
              <w:rPr>
                <w:rFonts w:hint="eastAsia" w:ascii="微软雅黑" w:hAnsi="微软雅黑" w:eastAsia="微软雅黑"/>
                <w:b/>
                <w:sz w:val="24"/>
                <w:szCs w:val="20"/>
              </w:rPr>
              <w:t>名</w:t>
            </w:r>
            <w:r>
              <w:rPr>
                <w:rFonts w:ascii="微软雅黑" w:hAnsi="微软雅黑" w:eastAsia="微软雅黑"/>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785" w:type="dxa"/>
            <w:vAlign w:val="center"/>
          </w:tcPr>
          <w:p>
            <w:pPr>
              <w:adjustRightInd w:val="0"/>
              <w:snapToGrid w:val="0"/>
              <w:spacing w:line="580" w:lineRule="exact"/>
              <w:jc w:val="center"/>
              <w:rPr>
                <w:rFonts w:ascii="微软雅黑" w:hAnsi="微软雅黑" w:eastAsia="微软雅黑"/>
                <w:szCs w:val="21"/>
              </w:rPr>
            </w:pPr>
            <w:r>
              <w:rPr>
                <w:rFonts w:hint="eastAsia" w:ascii="微软雅黑" w:hAnsi="微软雅黑" w:eastAsia="微软雅黑"/>
                <w:szCs w:val="21"/>
              </w:rPr>
              <w:t>重庆市招商投资促进局网站维护服务（网址：</w:t>
            </w:r>
            <w:r>
              <w:rPr>
                <w:rFonts w:ascii="微软雅黑" w:hAnsi="微软雅黑" w:eastAsia="微软雅黑"/>
                <w:szCs w:val="21"/>
              </w:rPr>
              <w:t>http://zsj.cq.gov.cn/wap.html</w:t>
            </w:r>
            <w:r>
              <w:rPr>
                <w:rFonts w:hint="eastAsia" w:ascii="微软雅黑" w:hAnsi="微软雅黑" w:eastAsia="微软雅黑"/>
                <w:szCs w:val="21"/>
              </w:rPr>
              <w:t>）</w:t>
            </w:r>
            <w:r>
              <w:rPr>
                <w:rFonts w:ascii="微软雅黑" w:hAnsi="微软雅黑" w:eastAsia="微软雅黑"/>
                <w:szCs w:val="21"/>
              </w:rPr>
              <w:t>项目</w:t>
            </w:r>
          </w:p>
        </w:tc>
        <w:tc>
          <w:tcPr>
            <w:tcW w:w="1409" w:type="dxa"/>
            <w:vAlign w:val="center"/>
          </w:tcPr>
          <w:p>
            <w:pPr>
              <w:adjustRightInd w:val="0"/>
              <w:snapToGrid w:val="0"/>
              <w:spacing w:line="580" w:lineRule="exact"/>
              <w:jc w:val="center"/>
              <w:rPr>
                <w:rFonts w:ascii="微软雅黑" w:hAnsi="微软雅黑" w:eastAsia="微软雅黑"/>
                <w:kern w:val="0"/>
                <w:szCs w:val="21"/>
              </w:rPr>
            </w:pPr>
            <w:r>
              <w:rPr>
                <w:rFonts w:ascii="微软雅黑" w:hAnsi="微软雅黑" w:eastAsia="微软雅黑"/>
                <w:kern w:val="0"/>
                <w:szCs w:val="21"/>
              </w:rPr>
              <w:t>1</w:t>
            </w:r>
            <w:r>
              <w:rPr>
                <w:rFonts w:hint="eastAsia" w:ascii="微软雅黑" w:hAnsi="微软雅黑" w:eastAsia="微软雅黑"/>
                <w:kern w:val="0"/>
                <w:szCs w:val="21"/>
              </w:rPr>
              <w:t>年</w:t>
            </w:r>
          </w:p>
        </w:tc>
        <w:tc>
          <w:tcPr>
            <w:tcW w:w="2126" w:type="dxa"/>
          </w:tcPr>
          <w:p>
            <w:pPr>
              <w:adjustRightInd w:val="0"/>
              <w:snapToGrid w:val="0"/>
              <w:spacing w:line="580" w:lineRule="exact"/>
              <w:jc w:val="center"/>
              <w:rPr>
                <w:rFonts w:ascii="微软雅黑" w:hAnsi="微软雅黑" w:eastAsia="微软雅黑"/>
                <w:kern w:val="0"/>
                <w:szCs w:val="21"/>
              </w:rPr>
            </w:pPr>
          </w:p>
          <w:p>
            <w:pPr>
              <w:adjustRightInd w:val="0"/>
              <w:snapToGrid w:val="0"/>
              <w:spacing w:line="580" w:lineRule="exact"/>
              <w:jc w:val="center"/>
              <w:rPr>
                <w:rFonts w:ascii="微软雅黑" w:hAnsi="微软雅黑" w:eastAsia="微软雅黑"/>
                <w:kern w:val="0"/>
                <w:szCs w:val="21"/>
              </w:rPr>
            </w:pPr>
            <w:r>
              <w:rPr>
                <w:rFonts w:hint="eastAsia" w:ascii="微软雅黑" w:hAnsi="微软雅黑" w:eastAsia="微软雅黑"/>
                <w:kern w:val="0"/>
                <w:szCs w:val="21"/>
              </w:rPr>
              <w:t>5万元</w:t>
            </w:r>
          </w:p>
        </w:tc>
        <w:tc>
          <w:tcPr>
            <w:tcW w:w="2444" w:type="dxa"/>
          </w:tcPr>
          <w:p>
            <w:pPr>
              <w:adjustRightInd w:val="0"/>
              <w:snapToGrid w:val="0"/>
              <w:spacing w:line="580" w:lineRule="exact"/>
              <w:jc w:val="center"/>
              <w:rPr>
                <w:rFonts w:ascii="微软雅黑" w:hAnsi="微软雅黑" w:eastAsia="微软雅黑"/>
                <w:kern w:val="0"/>
                <w:szCs w:val="21"/>
              </w:rPr>
            </w:pPr>
          </w:p>
          <w:p>
            <w:pPr>
              <w:adjustRightInd w:val="0"/>
              <w:snapToGrid w:val="0"/>
              <w:spacing w:line="580" w:lineRule="exact"/>
              <w:jc w:val="center"/>
              <w:rPr>
                <w:rFonts w:ascii="微软雅黑" w:hAnsi="微软雅黑" w:eastAsia="微软雅黑"/>
                <w:kern w:val="0"/>
                <w:szCs w:val="21"/>
              </w:rPr>
            </w:pPr>
            <w:r>
              <w:rPr>
                <w:rFonts w:hint="eastAsia" w:ascii="微软雅黑" w:hAnsi="微软雅黑" w:eastAsia="微软雅黑"/>
                <w:kern w:val="0"/>
                <w:szCs w:val="21"/>
              </w:rPr>
              <w:t>1</w:t>
            </w:r>
          </w:p>
        </w:tc>
      </w:tr>
    </w:tbl>
    <w:p>
      <w:pPr>
        <w:pStyle w:val="4"/>
        <w:spacing w:line="480" w:lineRule="exact"/>
        <w:ind w:firstLine="480" w:firstLineChars="200"/>
        <w:rPr>
          <w:rFonts w:ascii="微软雅黑" w:hAnsi="微软雅黑" w:eastAsia="微软雅黑"/>
          <w:b/>
          <w:sz w:val="24"/>
        </w:rPr>
      </w:pPr>
      <w:bookmarkStart w:id="19" w:name="_Toc14949"/>
      <w:bookmarkStart w:id="20" w:name="_Toc9063"/>
      <w:r>
        <w:rPr>
          <w:rFonts w:ascii="微软雅黑" w:hAnsi="微软雅黑" w:eastAsia="微软雅黑"/>
          <w:b/>
          <w:sz w:val="24"/>
        </w:rPr>
        <w:t>二、供应商资格条件</w:t>
      </w:r>
      <w:bookmarkEnd w:id="19"/>
      <w:bookmarkEnd w:id="20"/>
    </w:p>
    <w:p>
      <w:pPr>
        <w:spacing w:line="440" w:lineRule="exact"/>
        <w:ind w:firstLine="420" w:firstLineChars="200"/>
        <w:rPr>
          <w:rFonts w:ascii="微软雅黑" w:hAnsi="微软雅黑" w:eastAsia="微软雅黑"/>
          <w:szCs w:val="21"/>
        </w:rPr>
      </w:pPr>
      <w:bookmarkStart w:id="21" w:name="_Toc495587755"/>
      <w:r>
        <w:rPr>
          <w:rFonts w:ascii="微软雅黑" w:hAnsi="微软雅黑" w:eastAsia="微软雅黑"/>
          <w:szCs w:val="21"/>
        </w:rPr>
        <w:t>合格的供应商应符合政府采购法第二十二条规定的基本资格条件</w:t>
      </w:r>
      <w:r>
        <w:rPr>
          <w:rFonts w:hint="eastAsia" w:ascii="微软雅黑" w:hAnsi="微软雅黑" w:eastAsia="微软雅黑"/>
          <w:szCs w:val="21"/>
        </w:rPr>
        <w:t>：</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（一）基本资格条件</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1. 具有独立承担民事责任的能力；</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2. 具有良好的商业信誉和健全的财务会计制度；</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3. 具有履行合同所必需的设备和专业技术能力；</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4. 有依法缴纳税收的良好记录；</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5. 参加政府采购活动前三年内，在经营活动中没有重大违法记录；</w:t>
      </w:r>
    </w:p>
    <w:p>
      <w:pPr>
        <w:spacing w:line="440" w:lineRule="exact"/>
        <w:ind w:firstLine="420" w:firstLineChars="200"/>
        <w:rPr>
          <w:rFonts w:ascii="微软雅黑" w:hAnsi="微软雅黑" w:eastAsia="微软雅黑"/>
          <w:szCs w:val="21"/>
        </w:rPr>
      </w:pPr>
      <w:bookmarkStart w:id="22" w:name="_Toc1812"/>
      <w:r>
        <w:rPr>
          <w:rFonts w:ascii="微软雅黑" w:hAnsi="微软雅黑" w:eastAsia="微软雅黑"/>
          <w:szCs w:val="21"/>
        </w:rPr>
        <w:t>6. 法律、行政法规规定的其他条件。</w:t>
      </w:r>
      <w:bookmarkEnd w:id="22"/>
    </w:p>
    <w:p>
      <w:pPr>
        <w:spacing w:line="440" w:lineRule="exact"/>
        <w:ind w:firstLine="420" w:firstLineChars="200"/>
        <w:rPr>
          <w:rFonts w:ascii="微软雅黑" w:hAnsi="微软雅黑" w:eastAsia="微软雅黑"/>
          <w:szCs w:val="21"/>
        </w:rPr>
      </w:pPr>
      <w:r>
        <w:rPr>
          <w:rFonts w:ascii="微软雅黑" w:hAnsi="微软雅黑" w:eastAsia="微软雅黑"/>
          <w:szCs w:val="21"/>
        </w:rPr>
        <w:t>（二）特定资格条件</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无</w:t>
      </w:r>
    </w:p>
    <w:p>
      <w:pPr>
        <w:pStyle w:val="4"/>
        <w:spacing w:line="480" w:lineRule="exact"/>
        <w:ind w:firstLine="480" w:firstLineChars="200"/>
        <w:rPr>
          <w:rFonts w:ascii="微软雅黑" w:hAnsi="微软雅黑" w:eastAsia="微软雅黑"/>
          <w:b/>
          <w:sz w:val="24"/>
        </w:rPr>
      </w:pPr>
      <w:bookmarkStart w:id="23" w:name="_Toc17849"/>
      <w:bookmarkStart w:id="24" w:name="_Toc28087"/>
      <w:r>
        <w:rPr>
          <w:rFonts w:ascii="微软雅黑" w:hAnsi="微软雅黑" w:eastAsia="微软雅黑"/>
          <w:b/>
          <w:sz w:val="24"/>
        </w:rPr>
        <w:t>三</w:t>
      </w:r>
      <w:r>
        <w:rPr>
          <w:rFonts w:hint="eastAsia" w:ascii="微软雅黑" w:hAnsi="微软雅黑" w:eastAsia="微软雅黑"/>
          <w:b/>
          <w:sz w:val="24"/>
        </w:rPr>
        <w:t>、评比</w:t>
      </w:r>
      <w:r>
        <w:rPr>
          <w:rFonts w:ascii="微软雅黑" w:hAnsi="微软雅黑" w:eastAsia="微软雅黑"/>
          <w:b/>
          <w:sz w:val="24"/>
        </w:rPr>
        <w:t>有关说明</w:t>
      </w:r>
      <w:bookmarkEnd w:id="21"/>
      <w:bookmarkEnd w:id="23"/>
      <w:bookmarkEnd w:id="24"/>
    </w:p>
    <w:p>
      <w:pPr>
        <w:spacing w:line="440" w:lineRule="exact"/>
        <w:ind w:firstLine="420" w:firstLineChars="200"/>
        <w:rPr>
          <w:rFonts w:ascii="微软雅黑" w:hAnsi="微软雅黑" w:eastAsia="微软雅黑"/>
          <w:szCs w:val="21"/>
        </w:rPr>
      </w:pPr>
      <w:r>
        <w:rPr>
          <w:rFonts w:ascii="微软雅黑" w:hAnsi="微软雅黑" w:eastAsia="微软雅黑"/>
          <w:szCs w:val="21"/>
        </w:rPr>
        <w:t>（一）本项目最高限价为</w:t>
      </w:r>
      <w:r>
        <w:rPr>
          <w:rFonts w:hint="eastAsia" w:ascii="微软雅黑" w:hAnsi="微软雅黑" w:eastAsia="微软雅黑"/>
          <w:szCs w:val="21"/>
        </w:rPr>
        <w:t>5</w:t>
      </w:r>
      <w:r>
        <w:rPr>
          <w:rFonts w:ascii="微软雅黑" w:hAnsi="微软雅黑" w:eastAsia="微软雅黑"/>
          <w:szCs w:val="21"/>
        </w:rPr>
        <w:t>万元（含）以下（价格包含：人工费、场地费、物料费、交通费、税费等完成本项目的所有费用）</w:t>
      </w:r>
      <w:r>
        <w:rPr>
          <w:rFonts w:hint="eastAsia" w:ascii="微软雅黑" w:hAnsi="微软雅黑" w:eastAsia="微软雅黑"/>
          <w:szCs w:val="21"/>
        </w:rPr>
        <w:t>；</w:t>
      </w:r>
    </w:p>
    <w:p>
      <w:pPr>
        <w:spacing w:line="440" w:lineRule="exact"/>
        <w:ind w:firstLine="420" w:firstLineChars="200"/>
      </w:pPr>
      <w:r>
        <w:rPr>
          <w:rFonts w:ascii="微软雅黑" w:hAnsi="微软雅黑" w:eastAsia="微软雅黑"/>
          <w:szCs w:val="21"/>
        </w:rPr>
        <w:t>（二）</w:t>
      </w:r>
      <w:r>
        <w:rPr>
          <w:rFonts w:hint="eastAsia" w:ascii="微软雅黑" w:hAnsi="微软雅黑" w:eastAsia="微软雅黑"/>
          <w:szCs w:val="21"/>
        </w:rPr>
        <w:t>提交响应</w:t>
      </w:r>
      <w:r>
        <w:rPr>
          <w:rFonts w:ascii="微软雅黑" w:hAnsi="微软雅黑" w:eastAsia="微软雅黑"/>
          <w:szCs w:val="21"/>
        </w:rPr>
        <w:t>文件地点：重庆市招商投资促进</w:t>
      </w:r>
      <w:r>
        <w:rPr>
          <w:rFonts w:hint="eastAsia" w:ascii="微软雅黑" w:hAnsi="微软雅黑" w:eastAsia="微软雅黑"/>
          <w:szCs w:val="21"/>
        </w:rPr>
        <w:t>局508会议室；</w:t>
      </w:r>
    </w:p>
    <w:p>
      <w:pPr>
        <w:spacing w:line="440" w:lineRule="exact"/>
        <w:ind w:firstLine="420" w:firstLineChars="200"/>
        <w:rPr>
          <w:rFonts w:ascii="微软雅黑" w:hAnsi="微软雅黑" w:eastAsia="微软雅黑"/>
          <w:szCs w:val="21"/>
        </w:rPr>
      </w:pPr>
      <w:bookmarkStart w:id="25" w:name="_Toc2049"/>
      <w:bookmarkStart w:id="26" w:name="_Toc8539"/>
      <w:r>
        <w:rPr>
          <w:rFonts w:hint="eastAsia" w:ascii="微软雅黑" w:hAnsi="微软雅黑" w:eastAsia="微软雅黑"/>
          <w:szCs w:val="21"/>
        </w:rPr>
        <w:t>（三）评比文件公告期限：自采购公告发布之日（20</w:t>
      </w:r>
      <w:r>
        <w:rPr>
          <w:rFonts w:ascii="微软雅黑" w:hAnsi="微软雅黑" w:eastAsia="微软雅黑"/>
          <w:szCs w:val="21"/>
        </w:rPr>
        <w:t>2</w:t>
      </w:r>
      <w:r>
        <w:rPr>
          <w:rFonts w:hint="eastAsia" w:ascii="微软雅黑" w:hAnsi="微软雅黑" w:eastAsia="微软雅黑"/>
          <w:szCs w:val="21"/>
        </w:rPr>
        <w:t xml:space="preserve">2年 </w:t>
      </w:r>
      <w:r>
        <w:rPr>
          <w:rFonts w:ascii="微软雅黑" w:hAnsi="微软雅黑" w:eastAsia="微软雅黑"/>
          <w:szCs w:val="21"/>
        </w:rPr>
        <w:t xml:space="preserve">8 </w:t>
      </w:r>
      <w:r>
        <w:rPr>
          <w:rFonts w:hint="eastAsia" w:ascii="微软雅黑" w:hAnsi="微软雅黑" w:eastAsia="微软雅黑"/>
          <w:szCs w:val="21"/>
        </w:rPr>
        <w:t>月</w:t>
      </w:r>
      <w:r>
        <w:rPr>
          <w:rFonts w:ascii="微软雅黑" w:hAnsi="微软雅黑" w:eastAsia="微软雅黑"/>
          <w:szCs w:val="21"/>
        </w:rPr>
        <w:t xml:space="preserve"> 1</w:t>
      </w:r>
      <w:r>
        <w:rPr>
          <w:rFonts w:hint="eastAsia" w:ascii="微软雅黑" w:hAnsi="微软雅黑" w:eastAsia="微软雅黑"/>
          <w:szCs w:val="21"/>
        </w:rPr>
        <w:t>5日）起三个工作日；</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四</w:t>
      </w:r>
      <w:r>
        <w:rPr>
          <w:rFonts w:ascii="微软雅黑" w:hAnsi="微软雅黑" w:eastAsia="微软雅黑"/>
          <w:szCs w:val="21"/>
        </w:rPr>
        <w:t>）响应文件递交开始时间：2022年8月1</w:t>
      </w:r>
      <w:r>
        <w:rPr>
          <w:rFonts w:hint="eastAsia" w:ascii="微软雅黑" w:hAnsi="微软雅黑" w:eastAsia="微软雅黑"/>
          <w:szCs w:val="21"/>
        </w:rPr>
        <w:t>7</w:t>
      </w:r>
      <w:r>
        <w:rPr>
          <w:rFonts w:ascii="微软雅黑" w:hAnsi="微软雅黑" w:eastAsia="微软雅黑"/>
          <w:szCs w:val="21"/>
        </w:rPr>
        <w:t>日北京时间9时</w:t>
      </w:r>
      <w:r>
        <w:rPr>
          <w:rFonts w:hint="eastAsia" w:ascii="微软雅黑" w:hAnsi="微软雅黑" w:eastAsia="微软雅黑"/>
          <w:szCs w:val="21"/>
        </w:rPr>
        <w:t>00</w:t>
      </w:r>
      <w:r>
        <w:rPr>
          <w:rFonts w:ascii="微软雅黑" w:hAnsi="微软雅黑" w:eastAsia="微软雅黑"/>
          <w:szCs w:val="21"/>
        </w:rPr>
        <w:t>分；</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五</w:t>
      </w:r>
      <w:r>
        <w:rPr>
          <w:rFonts w:ascii="微软雅黑" w:hAnsi="微软雅黑" w:eastAsia="微软雅黑"/>
          <w:szCs w:val="21"/>
        </w:rPr>
        <w:t>）响应文件递交截止时间：2022年8月1</w:t>
      </w:r>
      <w:r>
        <w:rPr>
          <w:rFonts w:hint="eastAsia" w:ascii="微软雅黑" w:hAnsi="微软雅黑" w:eastAsia="微软雅黑"/>
          <w:szCs w:val="21"/>
        </w:rPr>
        <w:t>7</w:t>
      </w:r>
      <w:r>
        <w:rPr>
          <w:rFonts w:ascii="微软雅黑" w:hAnsi="微软雅黑" w:eastAsia="微软雅黑"/>
          <w:szCs w:val="21"/>
        </w:rPr>
        <w:t>日北京时间18时</w:t>
      </w:r>
      <w:r>
        <w:rPr>
          <w:rFonts w:hint="eastAsia" w:ascii="微软雅黑" w:hAnsi="微软雅黑" w:eastAsia="微软雅黑"/>
          <w:szCs w:val="21"/>
        </w:rPr>
        <w:t>0</w:t>
      </w:r>
      <w:r>
        <w:rPr>
          <w:rFonts w:ascii="微软雅黑" w:hAnsi="微软雅黑" w:eastAsia="微软雅黑"/>
          <w:szCs w:val="21"/>
        </w:rPr>
        <w:t>0分；</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（六）评比时间：2022年8月18日北京时间10时00分；</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（七）评比</w:t>
      </w:r>
      <w:r>
        <w:rPr>
          <w:rFonts w:ascii="微软雅黑" w:hAnsi="微软雅黑" w:eastAsia="微软雅黑"/>
          <w:szCs w:val="21"/>
        </w:rPr>
        <w:t>地点</w:t>
      </w:r>
      <w:r>
        <w:rPr>
          <w:rFonts w:hint="eastAsia" w:ascii="微软雅黑" w:hAnsi="微软雅黑" w:eastAsia="微软雅黑"/>
          <w:szCs w:val="21"/>
        </w:rPr>
        <w:t>：同提交响应文件地点。</w:t>
      </w:r>
    </w:p>
    <w:p>
      <w:pPr>
        <w:pStyle w:val="4"/>
        <w:spacing w:line="480" w:lineRule="exact"/>
        <w:ind w:firstLine="480" w:firstLineChars="200"/>
        <w:rPr>
          <w:rFonts w:ascii="微软雅黑" w:hAnsi="微软雅黑" w:eastAsia="微软雅黑"/>
          <w:b/>
          <w:sz w:val="24"/>
        </w:rPr>
      </w:pPr>
      <w:r>
        <w:rPr>
          <w:rFonts w:hint="eastAsia" w:ascii="微软雅黑" w:hAnsi="微软雅黑" w:eastAsia="微软雅黑"/>
          <w:b/>
          <w:sz w:val="24"/>
        </w:rPr>
        <w:t>四、其他</w:t>
      </w:r>
      <w:r>
        <w:rPr>
          <w:rFonts w:ascii="微软雅黑" w:hAnsi="微软雅黑" w:eastAsia="微软雅黑"/>
          <w:b/>
          <w:sz w:val="24"/>
        </w:rPr>
        <w:t>有关规定</w:t>
      </w:r>
      <w:bookmarkEnd w:id="25"/>
      <w:bookmarkEnd w:id="26"/>
    </w:p>
    <w:p>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（一）单位负责人为同一人或者存在直接控股、管理关系的不同供应商，不得参加同一合同项（分包）下的政府采购活动，否则均为无效响应。</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二</w:t>
      </w:r>
      <w:r>
        <w:rPr>
          <w:rFonts w:ascii="微软雅黑" w:hAnsi="微软雅黑" w:eastAsia="微软雅黑"/>
          <w:szCs w:val="21"/>
        </w:rPr>
        <w:t>）超过截止时间递交的响应文件，恕不接收。</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三</w:t>
      </w:r>
      <w:r>
        <w:rPr>
          <w:rFonts w:ascii="微软雅黑" w:hAnsi="微软雅黑" w:eastAsia="微软雅黑"/>
          <w:szCs w:val="21"/>
        </w:rPr>
        <w:t>）</w:t>
      </w:r>
      <w:r>
        <w:rPr>
          <w:rFonts w:hint="eastAsia" w:ascii="微软雅黑" w:hAnsi="微软雅黑" w:eastAsia="微软雅黑"/>
          <w:szCs w:val="21"/>
        </w:rPr>
        <w:t>评比</w:t>
      </w:r>
      <w:r>
        <w:rPr>
          <w:rFonts w:ascii="微软雅黑" w:hAnsi="微软雅黑" w:eastAsia="微软雅黑"/>
          <w:szCs w:val="21"/>
        </w:rPr>
        <w:t>费用：无论</w:t>
      </w:r>
      <w:r>
        <w:rPr>
          <w:rFonts w:hint="eastAsia" w:ascii="微软雅黑" w:hAnsi="微软雅黑" w:eastAsia="微软雅黑"/>
          <w:szCs w:val="21"/>
        </w:rPr>
        <w:t>评比</w:t>
      </w:r>
      <w:r>
        <w:rPr>
          <w:rFonts w:ascii="微软雅黑" w:hAnsi="微软雅黑" w:eastAsia="微软雅黑"/>
          <w:szCs w:val="21"/>
        </w:rPr>
        <w:t>结果如何，供应商参与本项目</w:t>
      </w:r>
      <w:r>
        <w:rPr>
          <w:rFonts w:hint="eastAsia" w:ascii="微软雅黑" w:hAnsi="微软雅黑" w:eastAsia="微软雅黑"/>
          <w:szCs w:val="21"/>
        </w:rPr>
        <w:t>评比</w:t>
      </w:r>
      <w:r>
        <w:rPr>
          <w:rFonts w:ascii="微软雅黑" w:hAnsi="微软雅黑" w:eastAsia="微软雅黑"/>
          <w:szCs w:val="21"/>
        </w:rPr>
        <w:t>的所有费用均应由供应商自行承担。</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四</w:t>
      </w:r>
      <w:r>
        <w:rPr>
          <w:rFonts w:ascii="微软雅黑" w:hAnsi="微软雅黑" w:eastAsia="微软雅黑"/>
          <w:szCs w:val="21"/>
        </w:rPr>
        <w:t>）本项目不接受联合体参与</w:t>
      </w:r>
      <w:r>
        <w:rPr>
          <w:rFonts w:hint="eastAsia" w:ascii="微软雅黑" w:hAnsi="微软雅黑" w:eastAsia="微软雅黑"/>
          <w:szCs w:val="21"/>
        </w:rPr>
        <w:t>评比</w:t>
      </w:r>
      <w:r>
        <w:rPr>
          <w:rFonts w:ascii="微软雅黑" w:hAnsi="微软雅黑" w:eastAsia="微软雅黑"/>
          <w:szCs w:val="21"/>
        </w:rPr>
        <w:t>。</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（五</w:t>
      </w:r>
      <w:r>
        <w:rPr>
          <w:rFonts w:ascii="微软雅黑" w:hAnsi="微软雅黑" w:eastAsia="微软雅黑"/>
          <w:szCs w:val="21"/>
        </w:rPr>
        <w:t>）本项目不接受</w:t>
      </w:r>
      <w:r>
        <w:rPr>
          <w:rFonts w:hint="eastAsia" w:ascii="微软雅黑" w:hAnsi="微软雅黑" w:eastAsia="微软雅黑"/>
          <w:szCs w:val="21"/>
        </w:rPr>
        <w:t>合同</w:t>
      </w:r>
      <w:r>
        <w:rPr>
          <w:rFonts w:ascii="微软雅黑" w:hAnsi="微软雅黑" w:eastAsia="微软雅黑"/>
          <w:szCs w:val="21"/>
        </w:rPr>
        <w:t>分包。</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rPr>
        <w:t>六</w:t>
      </w:r>
      <w:r>
        <w:rPr>
          <w:rFonts w:ascii="微软雅黑" w:hAnsi="微软雅黑" w:eastAsia="微软雅黑"/>
          <w:szCs w:val="21"/>
        </w:rPr>
        <w:t>）</w:t>
      </w:r>
      <w:bookmarkStart w:id="27" w:name="OLE_LINK1"/>
      <w:bookmarkStart w:id="28" w:name="OLE_LINK2"/>
      <w:r>
        <w:rPr>
          <w:rFonts w:ascii="微软雅黑" w:hAnsi="微软雅黑" w:eastAsia="微软雅黑"/>
          <w:szCs w:val="21"/>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7"/>
      <w:bookmarkEnd w:id="28"/>
      <w:r>
        <w:rPr>
          <w:rFonts w:ascii="微软雅黑" w:hAnsi="微软雅黑" w:eastAsia="微软雅黑"/>
          <w:szCs w:val="21"/>
        </w:rPr>
        <w:t>供应商，将拒绝其参与政府采购活动。</w:t>
      </w:r>
    </w:p>
    <w:p>
      <w:pPr>
        <w:pStyle w:val="4"/>
        <w:spacing w:line="480" w:lineRule="exact"/>
        <w:ind w:firstLine="480" w:firstLineChars="200"/>
        <w:rPr>
          <w:rFonts w:ascii="微软雅黑" w:hAnsi="微软雅黑" w:eastAsia="微软雅黑"/>
          <w:b/>
          <w:sz w:val="24"/>
        </w:rPr>
      </w:pPr>
      <w:bookmarkStart w:id="29" w:name="_Toc495587759"/>
      <w:bookmarkStart w:id="30" w:name="_Toc18401"/>
      <w:bookmarkStart w:id="31" w:name="_Toc16147"/>
      <w:r>
        <w:rPr>
          <w:rFonts w:hint="eastAsia" w:ascii="微软雅黑" w:hAnsi="微软雅黑" w:eastAsia="微软雅黑"/>
          <w:b/>
          <w:sz w:val="24"/>
        </w:rPr>
        <w:t>五</w:t>
      </w:r>
      <w:r>
        <w:rPr>
          <w:rFonts w:ascii="微软雅黑" w:hAnsi="微软雅黑" w:eastAsia="微软雅黑"/>
          <w:b/>
          <w:sz w:val="24"/>
        </w:rPr>
        <w:t>、采购人联系方式</w:t>
      </w:r>
      <w:bookmarkEnd w:id="29"/>
      <w:bookmarkEnd w:id="30"/>
      <w:bookmarkEnd w:id="31"/>
    </w:p>
    <w:p>
      <w:pPr>
        <w:pStyle w:val="4"/>
        <w:spacing w:line="480" w:lineRule="exact"/>
        <w:ind w:firstLine="420" w:firstLineChars="200"/>
        <w:rPr>
          <w:rFonts w:ascii="微软雅黑" w:hAnsi="微软雅黑" w:eastAsia="微软雅黑"/>
          <w:sz w:val="21"/>
          <w:szCs w:val="21"/>
        </w:rPr>
      </w:pPr>
      <w:bookmarkStart w:id="32" w:name="_Toc23098"/>
      <w:bookmarkStart w:id="33" w:name="_Toc11470"/>
      <w:bookmarkStart w:id="34" w:name="_Toc2230"/>
      <w:bookmarkStart w:id="35" w:name="_Toc6065"/>
      <w:r>
        <w:rPr>
          <w:rFonts w:ascii="微软雅黑" w:hAnsi="微软雅黑" w:eastAsia="微软雅黑"/>
          <w:sz w:val="21"/>
          <w:szCs w:val="21"/>
        </w:rPr>
        <w:t>名  称：重庆市招商投资促进</w:t>
      </w:r>
      <w:r>
        <w:rPr>
          <w:rFonts w:hint="eastAsia" w:ascii="微软雅黑" w:hAnsi="微软雅黑" w:eastAsia="微软雅黑"/>
          <w:sz w:val="21"/>
          <w:szCs w:val="21"/>
        </w:rPr>
        <w:t>局</w:t>
      </w:r>
      <w:bookmarkEnd w:id="32"/>
      <w:bookmarkEnd w:id="33"/>
      <w:bookmarkEnd w:id="34"/>
      <w:bookmarkEnd w:id="35"/>
    </w:p>
    <w:p>
      <w:pPr>
        <w:spacing w:line="440" w:lineRule="exact"/>
        <w:ind w:firstLine="420" w:firstLineChars="200"/>
        <w:rPr>
          <w:rFonts w:ascii="微软雅黑" w:hAnsi="微软雅黑" w:eastAsia="微软雅黑"/>
          <w:szCs w:val="21"/>
        </w:rPr>
      </w:pPr>
      <w:r>
        <w:rPr>
          <w:rFonts w:ascii="微软雅黑" w:hAnsi="微软雅黑" w:eastAsia="微软雅黑"/>
          <w:szCs w:val="21"/>
        </w:rPr>
        <w:t>联系人：</w:t>
      </w:r>
      <w:r>
        <w:rPr>
          <w:rFonts w:hint="eastAsia" w:ascii="微软雅黑" w:hAnsi="微软雅黑" w:eastAsia="微软雅黑"/>
          <w:szCs w:val="21"/>
        </w:rPr>
        <w:t>黄麒霈</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电  话：</w:t>
      </w:r>
      <w:r>
        <w:rPr>
          <w:rFonts w:hint="eastAsia" w:ascii="微软雅黑" w:hAnsi="微软雅黑" w:eastAsia="微软雅黑"/>
          <w:szCs w:val="21"/>
        </w:rPr>
        <w:t>023-63366674</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地  址： 重庆市招商投资促进</w:t>
      </w:r>
      <w:r>
        <w:rPr>
          <w:rFonts w:hint="eastAsia" w:ascii="微软雅黑" w:hAnsi="微软雅黑" w:eastAsia="微软雅黑"/>
          <w:szCs w:val="21"/>
        </w:rPr>
        <w:t>局</w:t>
      </w:r>
      <w:r>
        <w:rPr>
          <w:rFonts w:ascii="微软雅黑" w:hAnsi="微软雅黑" w:eastAsia="微软雅黑"/>
          <w:szCs w:val="21"/>
        </w:rPr>
        <w:t>（重庆市渝北区云杉南路12号涉外商务区6栋5层50</w:t>
      </w:r>
      <w:r>
        <w:rPr>
          <w:rFonts w:hint="eastAsia" w:ascii="微软雅黑" w:hAnsi="微软雅黑" w:eastAsia="微软雅黑"/>
          <w:szCs w:val="21"/>
        </w:rPr>
        <w:t>5</w:t>
      </w:r>
      <w:r>
        <w:rPr>
          <w:rFonts w:ascii="微软雅黑" w:hAnsi="微软雅黑" w:eastAsia="微软雅黑"/>
          <w:szCs w:val="21"/>
        </w:rPr>
        <w:t>室）</w:t>
      </w:r>
    </w:p>
    <w:p>
      <w:pPr>
        <w:pStyle w:val="4"/>
        <w:adjustRightInd/>
        <w:snapToGrid/>
        <w:spacing w:before="260" w:after="260"/>
        <w:jc w:val="center"/>
        <w:rPr>
          <w:b/>
          <w:bCs/>
          <w:sz w:val="32"/>
          <w:szCs w:val="32"/>
        </w:rPr>
      </w:pPr>
      <w:r>
        <w:rPr>
          <w:szCs w:val="28"/>
        </w:rPr>
        <w:br w:type="page"/>
      </w:r>
      <w:bookmarkStart w:id="36" w:name="_Toc9589"/>
      <w:bookmarkStart w:id="37" w:name="_Toc9808"/>
      <w:r>
        <w:rPr>
          <w:rFonts w:ascii="微软雅黑" w:hAnsi="微软雅黑" w:eastAsia="微软雅黑"/>
          <w:b/>
          <w:sz w:val="36"/>
          <w:szCs w:val="36"/>
        </w:rPr>
        <w:t>第二</w:t>
      </w:r>
      <w:r>
        <w:rPr>
          <w:rFonts w:hint="eastAsia" w:ascii="微软雅黑" w:hAnsi="微软雅黑" w:eastAsia="微软雅黑"/>
          <w:b/>
          <w:sz w:val="36"/>
          <w:szCs w:val="36"/>
        </w:rPr>
        <w:t>篇</w:t>
      </w:r>
      <w:r>
        <w:rPr>
          <w:rFonts w:ascii="微软雅黑" w:hAnsi="微软雅黑" w:eastAsia="微软雅黑"/>
          <w:b/>
          <w:sz w:val="36"/>
          <w:szCs w:val="36"/>
        </w:rPr>
        <w:t xml:space="preserve"> 项目服务要求</w:t>
      </w:r>
      <w:bookmarkEnd w:id="36"/>
      <w:bookmarkEnd w:id="37"/>
    </w:p>
    <w:p>
      <w:pPr>
        <w:pStyle w:val="4"/>
        <w:spacing w:line="480" w:lineRule="exact"/>
        <w:ind w:firstLine="480" w:firstLineChars="200"/>
        <w:rPr>
          <w:rFonts w:ascii="微软雅黑" w:hAnsi="微软雅黑" w:eastAsia="微软雅黑"/>
          <w:b/>
          <w:sz w:val="24"/>
        </w:rPr>
      </w:pPr>
      <w:bookmarkStart w:id="38" w:name="_Toc16155"/>
      <w:bookmarkStart w:id="39" w:name="_Toc28290"/>
      <w:r>
        <w:rPr>
          <w:rFonts w:hint="eastAsia" w:ascii="微软雅黑" w:hAnsi="微软雅黑" w:eastAsia="微软雅黑"/>
          <w:b/>
          <w:sz w:val="24"/>
        </w:rPr>
        <w:t>一</w:t>
      </w:r>
      <w:r>
        <w:rPr>
          <w:rFonts w:ascii="微软雅黑" w:hAnsi="微软雅黑" w:eastAsia="微软雅黑"/>
          <w:b/>
          <w:sz w:val="24"/>
        </w:rPr>
        <w:t>、</w:t>
      </w:r>
      <w:r>
        <w:rPr>
          <w:rFonts w:hint="eastAsia" w:ascii="微软雅黑" w:hAnsi="微软雅黑" w:eastAsia="微软雅黑"/>
          <w:b/>
          <w:sz w:val="24"/>
        </w:rPr>
        <w:t>采购</w:t>
      </w:r>
      <w:r>
        <w:rPr>
          <w:rFonts w:ascii="微软雅黑" w:hAnsi="微软雅黑" w:eastAsia="微软雅黑"/>
          <w:b/>
          <w:sz w:val="24"/>
        </w:rPr>
        <w:t>内容</w:t>
      </w:r>
      <w:bookmarkEnd w:id="38"/>
      <w:bookmarkEnd w:id="39"/>
    </w:p>
    <w:p>
      <w:pPr>
        <w:spacing w:line="440" w:lineRule="exact"/>
        <w:ind w:firstLine="420" w:firstLineChars="200"/>
        <w:rPr>
          <w:rFonts w:ascii="微软雅黑" w:hAnsi="微软雅黑" w:eastAsia="微软雅黑"/>
          <w:szCs w:val="21"/>
        </w:rPr>
      </w:pPr>
      <w:bookmarkStart w:id="40" w:name="_Toc20670"/>
      <w:bookmarkStart w:id="41" w:name="_Toc10803"/>
      <w:r>
        <w:rPr>
          <w:rFonts w:hint="eastAsia" w:ascii="微软雅黑" w:hAnsi="微软雅黑" w:eastAsia="微软雅黑"/>
          <w:szCs w:val="21"/>
        </w:rPr>
        <w:t>重庆市招商投资促进局网站维护服务（网址：</w:t>
      </w:r>
      <w:r>
        <w:fldChar w:fldCharType="begin"/>
      </w:r>
      <w:r>
        <w:instrText xml:space="preserve"> HYPERLINK "http://zsj.cq.gov.cn/wap.html）" </w:instrText>
      </w:r>
      <w:r>
        <w:fldChar w:fldCharType="separate"/>
      </w:r>
      <w:r>
        <w:rPr>
          <w:rFonts w:hint="eastAsia" w:ascii="微软雅黑" w:hAnsi="微软雅黑" w:eastAsia="微软雅黑"/>
          <w:szCs w:val="21"/>
        </w:rPr>
        <w:t>http://zsj.cq.gov.cn/wap.html）</w:t>
      </w:r>
      <w:r>
        <w:rPr>
          <w:rFonts w:hint="eastAsia" w:ascii="微软雅黑" w:hAnsi="微软雅黑" w:eastAsia="微软雅黑"/>
          <w:szCs w:val="21"/>
        </w:rPr>
        <w:fldChar w:fldCharType="end"/>
      </w:r>
    </w:p>
    <w:p>
      <w:pPr>
        <w:pStyle w:val="4"/>
        <w:spacing w:line="480" w:lineRule="exact"/>
        <w:ind w:firstLine="480" w:firstLineChars="200"/>
        <w:rPr>
          <w:rFonts w:ascii="微软雅黑" w:hAnsi="微软雅黑" w:eastAsia="微软雅黑"/>
          <w:b/>
          <w:sz w:val="24"/>
        </w:rPr>
      </w:pPr>
      <w:r>
        <w:rPr>
          <w:rFonts w:hint="eastAsia" w:ascii="微软雅黑" w:hAnsi="微软雅黑" w:eastAsia="微软雅黑"/>
          <w:b/>
          <w:sz w:val="24"/>
        </w:rPr>
        <w:t>二</w:t>
      </w:r>
      <w:r>
        <w:rPr>
          <w:rFonts w:ascii="微软雅黑" w:hAnsi="微软雅黑" w:eastAsia="微软雅黑"/>
          <w:b/>
          <w:sz w:val="24"/>
        </w:rPr>
        <w:t>、</w:t>
      </w:r>
      <w:r>
        <w:rPr>
          <w:rFonts w:hint="eastAsia" w:ascii="微软雅黑" w:hAnsi="微软雅黑" w:eastAsia="微软雅黑"/>
          <w:b/>
          <w:sz w:val="24"/>
        </w:rPr>
        <w:t>项目主要内容及要求</w:t>
      </w:r>
      <w:bookmarkEnd w:id="40"/>
      <w:bookmarkEnd w:id="41"/>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（一）技术支持</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提供网站技术维护服务与支持，与主管部门及服务器运营商进行沟通对接，保障服务器和各项服务安全正常运行；</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（二）内容维护</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对上级部门相关信息进行及时转载，对市招商投资局重要信息进行及时发布，保证每日更新。同时，制作一期网站原创策划，例如专题、图集或图解，须根据市招商投资局需求进行选择。</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（三）考核达标</w:t>
      </w:r>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按照市政府关于网站考核指标，协助做好网站自查及整改工作，保证市招商投资局网站年度考核达标。</w:t>
      </w:r>
    </w:p>
    <w:p>
      <w:pPr>
        <w:pStyle w:val="4"/>
        <w:spacing w:line="480" w:lineRule="exact"/>
        <w:ind w:firstLine="480" w:firstLineChars="200"/>
        <w:rPr>
          <w:rFonts w:ascii="微软雅黑" w:hAnsi="微软雅黑" w:eastAsia="微软雅黑"/>
          <w:b/>
          <w:sz w:val="24"/>
        </w:rPr>
      </w:pPr>
      <w:bookmarkStart w:id="42" w:name="_Toc24918"/>
      <w:bookmarkStart w:id="43" w:name="_Toc14387"/>
      <w:r>
        <w:rPr>
          <w:rFonts w:hint="eastAsia" w:ascii="微软雅黑" w:hAnsi="微软雅黑" w:eastAsia="微软雅黑"/>
          <w:b/>
          <w:sz w:val="24"/>
        </w:rPr>
        <w:t>三、服务期限</w:t>
      </w:r>
      <w:bookmarkEnd w:id="42"/>
      <w:bookmarkEnd w:id="43"/>
    </w:p>
    <w:p>
      <w:pPr>
        <w:spacing w:line="440" w:lineRule="exact"/>
        <w:ind w:firstLine="420" w:firstLineChars="200"/>
        <w:rPr>
          <w:rFonts w:ascii="微软雅黑" w:hAnsi="微软雅黑" w:eastAsia="微软雅黑"/>
          <w:szCs w:val="21"/>
        </w:rPr>
      </w:pPr>
      <w:r>
        <w:rPr>
          <w:rFonts w:hint="eastAsia" w:ascii="微软雅黑" w:hAnsi="微软雅黑" w:eastAsia="微软雅黑"/>
          <w:szCs w:val="21"/>
        </w:rPr>
        <w:t>自合同签订之日起生效，期限为1年。</w:t>
      </w:r>
    </w:p>
    <w:p>
      <w:pPr>
        <w:pStyle w:val="4"/>
        <w:spacing w:line="480" w:lineRule="exact"/>
        <w:ind w:firstLine="480" w:firstLineChars="200"/>
        <w:rPr>
          <w:rFonts w:ascii="微软雅黑" w:hAnsi="微软雅黑" w:eastAsia="微软雅黑"/>
          <w:b/>
          <w:sz w:val="24"/>
        </w:rPr>
      </w:pPr>
      <w:bookmarkStart w:id="44" w:name="_Toc4428"/>
      <w:bookmarkStart w:id="45" w:name="_Toc10860"/>
      <w:r>
        <w:rPr>
          <w:rFonts w:hint="eastAsia" w:ascii="微软雅黑" w:hAnsi="微软雅黑" w:eastAsia="微软雅黑"/>
          <w:b/>
          <w:sz w:val="24"/>
        </w:rPr>
        <w:t>四</w:t>
      </w:r>
      <w:r>
        <w:rPr>
          <w:rFonts w:ascii="微软雅黑" w:hAnsi="微软雅黑" w:eastAsia="微软雅黑"/>
          <w:b/>
          <w:sz w:val="24"/>
        </w:rPr>
        <w:t>、采购方式</w:t>
      </w:r>
      <w:bookmarkEnd w:id="44"/>
      <w:bookmarkEnd w:id="45"/>
    </w:p>
    <w:p>
      <w:pPr>
        <w:spacing w:line="440" w:lineRule="exact"/>
        <w:ind w:firstLine="420" w:firstLineChars="200"/>
        <w:rPr>
          <w:rFonts w:ascii="微软雅黑" w:hAnsi="微软雅黑" w:eastAsia="微软雅黑"/>
          <w:szCs w:val="21"/>
        </w:rPr>
      </w:pPr>
      <w:r>
        <w:rPr>
          <w:rFonts w:ascii="微软雅黑" w:hAnsi="微软雅黑" w:eastAsia="微软雅黑"/>
          <w:szCs w:val="21"/>
        </w:rPr>
        <w:t>采取综合评标法进行</w:t>
      </w:r>
      <w:r>
        <w:rPr>
          <w:rFonts w:hint="eastAsia" w:ascii="微软雅黑" w:hAnsi="微软雅黑" w:eastAsia="微软雅黑"/>
          <w:szCs w:val="21"/>
        </w:rPr>
        <w:t>比选</w:t>
      </w:r>
      <w:r>
        <w:rPr>
          <w:rFonts w:ascii="微软雅黑" w:hAnsi="微软雅黑" w:eastAsia="微软雅黑"/>
          <w:szCs w:val="21"/>
        </w:rPr>
        <w:t>，由重庆市招商投资促进局依法依规自行组织采购。</w:t>
      </w:r>
    </w:p>
    <w:p>
      <w:pPr>
        <w:pStyle w:val="4"/>
        <w:spacing w:line="480" w:lineRule="exact"/>
        <w:ind w:firstLine="480" w:firstLineChars="200"/>
        <w:rPr>
          <w:rFonts w:ascii="微软雅黑" w:hAnsi="微软雅黑" w:eastAsia="微软雅黑"/>
          <w:b/>
          <w:sz w:val="24"/>
        </w:rPr>
      </w:pPr>
      <w:bookmarkStart w:id="46" w:name="_Toc6293"/>
      <w:bookmarkStart w:id="47" w:name="_Toc27107"/>
      <w:r>
        <w:rPr>
          <w:rFonts w:hint="eastAsia" w:ascii="微软雅黑" w:hAnsi="微软雅黑" w:eastAsia="微软雅黑"/>
          <w:b/>
          <w:sz w:val="24"/>
        </w:rPr>
        <w:t>五</w:t>
      </w:r>
      <w:r>
        <w:rPr>
          <w:rFonts w:ascii="微软雅黑" w:hAnsi="微软雅黑" w:eastAsia="微软雅黑"/>
          <w:b/>
          <w:sz w:val="24"/>
        </w:rPr>
        <w:t>、违约责任</w:t>
      </w:r>
      <w:bookmarkEnd w:id="46"/>
      <w:bookmarkEnd w:id="47"/>
    </w:p>
    <w:p>
      <w:pPr>
        <w:spacing w:line="440" w:lineRule="exact"/>
        <w:ind w:firstLine="420" w:firstLineChars="200"/>
        <w:rPr>
          <w:rFonts w:ascii="微软雅黑" w:hAnsi="微软雅黑" w:eastAsia="微软雅黑"/>
          <w:szCs w:val="21"/>
        </w:rPr>
      </w:pPr>
      <w:r>
        <w:rPr>
          <w:rFonts w:ascii="微软雅黑" w:hAnsi="微软雅黑" w:eastAsia="微软雅黑"/>
          <w:szCs w:val="21"/>
        </w:rPr>
        <w:t>（一）中选供应商不得将服务资格转让其他机构。</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（二）中选供应商拒绝承接采购人安排的服务项目或服务后验收不合格的，采购人有权单方解除合同。</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（三）采购人将不定期对中选供应商的服务进行测评，如测评不合格，采购人有权单方解除合同。</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（四）中选供应商必须严格执行国家采购法律法规，自觉接受采购人的业务指导和监督管理，全力维护采购人的合法权益。如国家相关法律法规发生变化，则按新的法律法规执行。</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（五）供应商向采购人移交的所有有关遴选</w:t>
      </w:r>
      <w:r>
        <w:rPr>
          <w:rFonts w:hint="eastAsia" w:ascii="微软雅黑" w:hAnsi="微软雅黑" w:eastAsia="微软雅黑"/>
          <w:szCs w:val="21"/>
        </w:rPr>
        <w:t>评比</w:t>
      </w:r>
      <w:r>
        <w:rPr>
          <w:rFonts w:ascii="微软雅黑" w:hAnsi="微软雅黑" w:eastAsia="微软雅黑"/>
          <w:szCs w:val="21"/>
        </w:rPr>
        <w:t>的资料，均须通过书面形式移交，采购人收悉后，将按审核意见予以回函。</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（六）供应商必须对采购人单位信息进行保密，在未经采购人事先书面同意的情况下，任何时候均不得将遴选</w:t>
      </w:r>
      <w:r>
        <w:rPr>
          <w:rFonts w:hint="eastAsia" w:ascii="微软雅黑" w:hAnsi="微软雅黑" w:eastAsia="微软雅黑"/>
          <w:szCs w:val="21"/>
        </w:rPr>
        <w:t>评比</w:t>
      </w:r>
      <w:r>
        <w:rPr>
          <w:rFonts w:ascii="微软雅黑" w:hAnsi="微软雅黑" w:eastAsia="微软雅黑"/>
          <w:szCs w:val="21"/>
        </w:rPr>
        <w:t>信息的任何内容或者从采购人处知晓的关于采购人单位的任何信息泄露给任何其它方。</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（七）其他未尽事宜由供需双方在采购合同中详细约定。</w:t>
      </w:r>
    </w:p>
    <w:p>
      <w:bookmarkStart w:id="48" w:name="_Toc18730"/>
      <w:bookmarkStart w:id="49" w:name="_Toc13048"/>
      <w:bookmarkStart w:id="50" w:name="_Toc16770"/>
      <w:bookmarkStart w:id="51" w:name="_Toc21628"/>
      <w:bookmarkStart w:id="52" w:name="_Toc1612"/>
      <w:bookmarkStart w:id="53" w:name="_Toc7130"/>
      <w:bookmarkStart w:id="54" w:name="_Toc20923"/>
      <w:bookmarkStart w:id="55" w:name="_Toc10994"/>
    </w:p>
    <w:p>
      <w:pPr>
        <w:pStyle w:val="4"/>
        <w:adjustRightInd/>
        <w:snapToGrid/>
        <w:spacing w:before="260" w:after="260"/>
        <w:jc w:val="center"/>
        <w:rPr>
          <w:b/>
          <w:bCs/>
          <w:sz w:val="36"/>
          <w:szCs w:val="36"/>
        </w:rPr>
      </w:pPr>
      <w:r>
        <w:rPr>
          <w:szCs w:val="28"/>
        </w:rPr>
        <w:br w:type="page"/>
      </w:r>
      <w:bookmarkStart w:id="56" w:name="_Toc11493"/>
      <w:bookmarkStart w:id="57" w:name="_Toc19340"/>
      <w:r>
        <w:rPr>
          <w:rFonts w:ascii="微软雅黑" w:hAnsi="微软雅黑" w:eastAsia="微软雅黑"/>
          <w:b/>
          <w:sz w:val="36"/>
          <w:szCs w:val="36"/>
        </w:rPr>
        <w:t>第三</w:t>
      </w:r>
      <w:r>
        <w:rPr>
          <w:rFonts w:hint="eastAsia" w:ascii="微软雅黑" w:hAnsi="微软雅黑" w:eastAsia="微软雅黑"/>
          <w:b/>
          <w:sz w:val="36"/>
          <w:szCs w:val="36"/>
        </w:rPr>
        <w:t>篇</w:t>
      </w:r>
      <w:r>
        <w:rPr>
          <w:rFonts w:ascii="微软雅黑" w:hAnsi="微软雅黑" w:eastAsia="微软雅黑"/>
          <w:b/>
          <w:sz w:val="36"/>
          <w:szCs w:val="36"/>
        </w:rPr>
        <w:t xml:space="preserve"> </w:t>
      </w:r>
      <w:bookmarkEnd w:id="48"/>
      <w:bookmarkEnd w:id="49"/>
      <w:bookmarkEnd w:id="50"/>
      <w:bookmarkEnd w:id="51"/>
      <w:r>
        <w:rPr>
          <w:rFonts w:hint="eastAsia" w:ascii="微软雅黑" w:hAnsi="微软雅黑" w:eastAsia="微软雅黑"/>
          <w:b/>
          <w:sz w:val="36"/>
          <w:szCs w:val="36"/>
        </w:rPr>
        <w:t>评比</w:t>
      </w:r>
      <w:r>
        <w:rPr>
          <w:rFonts w:ascii="微软雅黑" w:hAnsi="微软雅黑" w:eastAsia="微软雅黑"/>
          <w:b/>
          <w:sz w:val="36"/>
          <w:szCs w:val="36"/>
        </w:rPr>
        <w:t>程序及</w:t>
      </w:r>
      <w:bookmarkEnd w:id="56"/>
      <w:bookmarkStart w:id="58" w:name="_Toc21566"/>
      <w:r>
        <w:rPr>
          <w:rFonts w:ascii="微软雅黑" w:hAnsi="微软雅黑" w:eastAsia="微软雅黑"/>
          <w:b/>
          <w:sz w:val="36"/>
          <w:szCs w:val="36"/>
        </w:rPr>
        <w:t>评审标准</w:t>
      </w:r>
      <w:bookmarkEnd w:id="57"/>
      <w:bookmarkEnd w:id="58"/>
    </w:p>
    <w:p>
      <w:pPr>
        <w:pStyle w:val="4"/>
        <w:spacing w:line="480" w:lineRule="exact"/>
        <w:ind w:firstLine="480" w:firstLineChars="200"/>
        <w:rPr>
          <w:b/>
          <w:szCs w:val="28"/>
        </w:rPr>
      </w:pPr>
      <w:bookmarkStart w:id="59" w:name="_Toc18696"/>
      <w:bookmarkStart w:id="60" w:name="_Toc532648434"/>
      <w:bookmarkStart w:id="61" w:name="_Toc27974"/>
      <w:r>
        <w:rPr>
          <w:rFonts w:ascii="微软雅黑" w:hAnsi="微软雅黑" w:eastAsia="微软雅黑"/>
          <w:b/>
          <w:sz w:val="24"/>
        </w:rPr>
        <w:t>一、</w:t>
      </w:r>
      <w:r>
        <w:rPr>
          <w:rFonts w:hint="eastAsia" w:ascii="微软雅黑" w:hAnsi="微软雅黑" w:eastAsia="微软雅黑"/>
          <w:b/>
          <w:sz w:val="24"/>
        </w:rPr>
        <w:t>评比</w:t>
      </w:r>
      <w:r>
        <w:rPr>
          <w:rFonts w:ascii="微软雅黑" w:hAnsi="微软雅黑" w:eastAsia="微软雅黑"/>
          <w:b/>
          <w:sz w:val="24"/>
        </w:rPr>
        <w:t>程序及方法</w:t>
      </w:r>
      <w:bookmarkEnd w:id="59"/>
      <w:bookmarkEnd w:id="60"/>
      <w:bookmarkEnd w:id="61"/>
    </w:p>
    <w:p>
      <w:pPr>
        <w:spacing w:line="440" w:lineRule="exact"/>
        <w:ind w:firstLine="420" w:firstLineChars="200"/>
        <w:rPr>
          <w:rFonts w:ascii="微软雅黑" w:hAnsi="微软雅黑" w:eastAsia="微软雅黑"/>
          <w:szCs w:val="21"/>
        </w:rPr>
      </w:pPr>
      <w:r>
        <w:rPr>
          <w:rFonts w:ascii="微软雅黑" w:hAnsi="微软雅黑" w:eastAsia="微软雅黑"/>
          <w:szCs w:val="21"/>
        </w:rPr>
        <w:t>（一）按</w:t>
      </w:r>
      <w:r>
        <w:rPr>
          <w:rFonts w:hint="eastAsia" w:ascii="微软雅黑" w:hAnsi="微软雅黑" w:eastAsia="微软雅黑"/>
          <w:szCs w:val="21"/>
        </w:rPr>
        <w:t>评比</w:t>
      </w:r>
      <w:r>
        <w:rPr>
          <w:rFonts w:ascii="微软雅黑" w:hAnsi="微软雅黑" w:eastAsia="微软雅黑"/>
          <w:szCs w:val="21"/>
        </w:rPr>
        <w:t>文件规定的时间和地点进行。</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（二）</w:t>
      </w:r>
      <w:r>
        <w:rPr>
          <w:rFonts w:hint="eastAsia" w:ascii="微软雅黑" w:hAnsi="微软雅黑" w:eastAsia="微软雅黑"/>
          <w:szCs w:val="21"/>
        </w:rPr>
        <w:t>评比</w:t>
      </w:r>
      <w:r>
        <w:rPr>
          <w:rFonts w:ascii="微软雅黑" w:hAnsi="微软雅黑" w:eastAsia="微软雅黑"/>
          <w:szCs w:val="21"/>
        </w:rPr>
        <w:t>小组对各供应商的资格条件、响应文件的有效性、完整性和响应程度进行审查。各供应商只有在完全符合要求的前提下，才能参与正式</w:t>
      </w:r>
      <w:r>
        <w:rPr>
          <w:rFonts w:hint="eastAsia" w:ascii="微软雅黑" w:hAnsi="微软雅黑" w:eastAsia="微软雅黑"/>
          <w:szCs w:val="21"/>
        </w:rPr>
        <w:t>评比</w:t>
      </w:r>
      <w:r>
        <w:rPr>
          <w:rFonts w:ascii="微软雅黑" w:hAnsi="微软雅黑" w:eastAsia="微软雅黑"/>
          <w:szCs w:val="21"/>
        </w:rPr>
        <w:t>。</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1. 资格性检查。依据</w:t>
      </w:r>
      <w:r>
        <w:rPr>
          <w:rFonts w:hint="eastAsia" w:ascii="微软雅黑" w:hAnsi="微软雅黑" w:eastAsia="微软雅黑"/>
          <w:szCs w:val="21"/>
        </w:rPr>
        <w:t>评比</w:t>
      </w:r>
      <w:r>
        <w:rPr>
          <w:rFonts w:ascii="微软雅黑" w:hAnsi="微软雅黑" w:eastAsia="微软雅黑"/>
          <w:szCs w:val="21"/>
        </w:rPr>
        <w:t>文件的规定，对响应文件中的资格证明等进行审查，以确定供应商是否具备</w:t>
      </w:r>
      <w:r>
        <w:rPr>
          <w:rFonts w:hint="eastAsia" w:ascii="微软雅黑" w:hAnsi="微软雅黑" w:eastAsia="微软雅黑"/>
          <w:szCs w:val="21"/>
        </w:rPr>
        <w:t>评比</w:t>
      </w:r>
      <w:r>
        <w:rPr>
          <w:rFonts w:ascii="微软雅黑" w:hAnsi="微软雅黑" w:eastAsia="微软雅黑"/>
          <w:szCs w:val="21"/>
        </w:rPr>
        <w:t>资格。资格性检查资料表如下：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45"/>
        <w:gridCol w:w="429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38" w:type="dxa"/>
            <w:vAlign w:val="center"/>
          </w:tcPr>
          <w:p>
            <w:pPr>
              <w:spacing w:line="240" w:lineRule="exact"/>
              <w:jc w:val="center"/>
              <w:rPr>
                <w:b/>
                <w:kern w:val="0"/>
                <w:szCs w:val="21"/>
              </w:rPr>
            </w:pPr>
            <w:r>
              <w:rPr>
                <w:b/>
                <w:kern w:val="0"/>
                <w:szCs w:val="21"/>
              </w:rPr>
              <w:t>序号</w:t>
            </w:r>
          </w:p>
        </w:tc>
        <w:tc>
          <w:tcPr>
            <w:tcW w:w="5235" w:type="dxa"/>
            <w:gridSpan w:val="2"/>
            <w:vAlign w:val="center"/>
          </w:tcPr>
          <w:p>
            <w:pPr>
              <w:spacing w:line="240" w:lineRule="exact"/>
              <w:ind w:firstLine="422" w:firstLineChars="200"/>
              <w:rPr>
                <w:b/>
                <w:kern w:val="0"/>
                <w:szCs w:val="21"/>
              </w:rPr>
            </w:pPr>
            <w:r>
              <w:rPr>
                <w:b/>
                <w:kern w:val="0"/>
                <w:szCs w:val="21"/>
              </w:rPr>
              <w:t>检查因素</w:t>
            </w:r>
          </w:p>
        </w:tc>
        <w:tc>
          <w:tcPr>
            <w:tcW w:w="3024" w:type="dxa"/>
            <w:vAlign w:val="center"/>
          </w:tcPr>
          <w:p>
            <w:pPr>
              <w:spacing w:line="240" w:lineRule="exact"/>
              <w:jc w:val="center"/>
              <w:rPr>
                <w:b/>
                <w:kern w:val="0"/>
                <w:szCs w:val="21"/>
              </w:rPr>
            </w:pPr>
            <w:r>
              <w:rPr>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638" w:type="dxa"/>
            <w:vMerge w:val="restart"/>
            <w:vAlign w:val="center"/>
          </w:tcPr>
          <w:p>
            <w:pPr>
              <w:spacing w:line="240" w:lineRule="exact"/>
              <w:jc w:val="center"/>
              <w:rPr>
                <w:b/>
                <w:kern w:val="0"/>
                <w:szCs w:val="21"/>
              </w:rPr>
            </w:pPr>
            <w:r>
              <w:rPr>
                <w:b/>
                <w:kern w:val="0"/>
                <w:szCs w:val="21"/>
              </w:rPr>
              <w:t>1</w:t>
            </w:r>
          </w:p>
        </w:tc>
        <w:tc>
          <w:tcPr>
            <w:tcW w:w="945" w:type="dxa"/>
            <w:vMerge w:val="restart"/>
            <w:vAlign w:val="center"/>
          </w:tcPr>
          <w:p>
            <w:pPr>
              <w:spacing w:line="240" w:lineRule="exact"/>
              <w:rPr>
                <w:b/>
                <w:kern w:val="0"/>
                <w:szCs w:val="21"/>
              </w:rPr>
            </w:pPr>
            <w:r>
              <w:rPr>
                <w:b/>
                <w:kern w:val="0"/>
                <w:szCs w:val="21"/>
              </w:rPr>
              <w:t>供应商应符合的基本资格条件</w:t>
            </w:r>
          </w:p>
        </w:tc>
        <w:tc>
          <w:tcPr>
            <w:tcW w:w="4290" w:type="dxa"/>
            <w:vAlign w:val="center"/>
          </w:tcPr>
          <w:p>
            <w:pPr>
              <w:spacing w:line="240" w:lineRule="exact"/>
              <w:rPr>
                <w:szCs w:val="21"/>
              </w:rPr>
            </w:pPr>
            <w:r>
              <w:rPr>
                <w:szCs w:val="21"/>
              </w:rPr>
              <w:t>（1）具有独立承担民事责任的能力</w:t>
            </w:r>
          </w:p>
        </w:tc>
        <w:tc>
          <w:tcPr>
            <w:tcW w:w="3024" w:type="dxa"/>
            <w:vAlign w:val="center"/>
          </w:tcPr>
          <w:p>
            <w:pPr>
              <w:spacing w:line="240" w:lineRule="exact"/>
              <w:rPr>
                <w:szCs w:val="21"/>
              </w:rPr>
            </w:pPr>
            <w:r>
              <w:rPr>
                <w:szCs w:val="21"/>
              </w:rPr>
              <w:t>1．法人营业执照副本</w:t>
            </w:r>
          </w:p>
          <w:p>
            <w:pPr>
              <w:spacing w:line="240" w:lineRule="exact"/>
              <w:rPr>
                <w:b/>
                <w:kern w:val="0"/>
                <w:szCs w:val="21"/>
              </w:rPr>
            </w:pPr>
            <w:r>
              <w:rPr>
                <w:szCs w:val="21"/>
              </w:rPr>
              <w:t>2．法定代表人身份证明</w:t>
            </w:r>
            <w:r>
              <w:rPr>
                <w:rFonts w:hint="eastAsia"/>
                <w:szCs w:val="21"/>
              </w:rPr>
              <w:t>或</w:t>
            </w:r>
            <w:r>
              <w:rPr>
                <w:szCs w:val="21"/>
              </w:rPr>
              <w:t>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638" w:type="dxa"/>
            <w:vMerge w:val="continue"/>
            <w:vAlign w:val="center"/>
          </w:tcPr>
          <w:p>
            <w:pPr>
              <w:spacing w:line="240" w:lineRule="exact"/>
              <w:jc w:val="center"/>
              <w:rPr>
                <w:b/>
                <w:kern w:val="0"/>
                <w:szCs w:val="21"/>
              </w:rPr>
            </w:pPr>
          </w:p>
        </w:tc>
        <w:tc>
          <w:tcPr>
            <w:tcW w:w="945" w:type="dxa"/>
            <w:vMerge w:val="continue"/>
            <w:vAlign w:val="center"/>
          </w:tcPr>
          <w:p>
            <w:pPr>
              <w:spacing w:line="240" w:lineRule="exact"/>
              <w:rPr>
                <w:b/>
                <w:kern w:val="0"/>
                <w:szCs w:val="21"/>
              </w:rPr>
            </w:pPr>
          </w:p>
        </w:tc>
        <w:tc>
          <w:tcPr>
            <w:tcW w:w="4290" w:type="dxa"/>
            <w:vAlign w:val="center"/>
          </w:tcPr>
          <w:p>
            <w:pPr>
              <w:spacing w:line="240" w:lineRule="exact"/>
              <w:rPr>
                <w:szCs w:val="21"/>
              </w:rPr>
            </w:pPr>
            <w:r>
              <w:rPr>
                <w:szCs w:val="21"/>
              </w:rPr>
              <w:t>（2）具有良好的商业信誉和健全的财务会计制度</w:t>
            </w:r>
          </w:p>
        </w:tc>
        <w:tc>
          <w:tcPr>
            <w:tcW w:w="3024" w:type="dxa"/>
            <w:vMerge w:val="restart"/>
            <w:vAlign w:val="center"/>
          </w:tcPr>
          <w:p>
            <w:pPr>
              <w:spacing w:line="240" w:lineRule="exact"/>
              <w:rPr>
                <w:b/>
                <w:kern w:val="0"/>
                <w:szCs w:val="21"/>
              </w:rPr>
            </w:pPr>
            <w:r>
              <w:rPr>
                <w:szCs w:val="21"/>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38" w:type="dxa"/>
            <w:vMerge w:val="continue"/>
            <w:vAlign w:val="center"/>
          </w:tcPr>
          <w:p>
            <w:pPr>
              <w:spacing w:line="240" w:lineRule="exact"/>
              <w:jc w:val="center"/>
              <w:rPr>
                <w:b/>
                <w:kern w:val="0"/>
                <w:szCs w:val="21"/>
              </w:rPr>
            </w:pPr>
          </w:p>
        </w:tc>
        <w:tc>
          <w:tcPr>
            <w:tcW w:w="945" w:type="dxa"/>
            <w:vMerge w:val="continue"/>
            <w:vAlign w:val="center"/>
          </w:tcPr>
          <w:p>
            <w:pPr>
              <w:spacing w:line="240" w:lineRule="exact"/>
              <w:rPr>
                <w:b/>
                <w:kern w:val="0"/>
                <w:szCs w:val="21"/>
              </w:rPr>
            </w:pPr>
          </w:p>
        </w:tc>
        <w:tc>
          <w:tcPr>
            <w:tcW w:w="4290" w:type="dxa"/>
            <w:vAlign w:val="center"/>
          </w:tcPr>
          <w:p>
            <w:pPr>
              <w:spacing w:line="240" w:lineRule="exact"/>
              <w:rPr>
                <w:szCs w:val="21"/>
              </w:rPr>
            </w:pPr>
            <w:r>
              <w:rPr>
                <w:szCs w:val="21"/>
              </w:rPr>
              <w:t>（3）具有履行合同所必需的设备和专业技术能力</w:t>
            </w:r>
          </w:p>
        </w:tc>
        <w:tc>
          <w:tcPr>
            <w:tcW w:w="3024" w:type="dxa"/>
            <w:vMerge w:val="continue"/>
            <w:vAlign w:val="center"/>
          </w:tcPr>
          <w:p>
            <w:pPr>
              <w:spacing w:line="24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38" w:type="dxa"/>
            <w:vMerge w:val="continue"/>
            <w:vAlign w:val="center"/>
          </w:tcPr>
          <w:p>
            <w:pPr>
              <w:spacing w:line="240" w:lineRule="exact"/>
              <w:jc w:val="center"/>
              <w:rPr>
                <w:b/>
                <w:kern w:val="0"/>
                <w:szCs w:val="21"/>
              </w:rPr>
            </w:pPr>
          </w:p>
        </w:tc>
        <w:tc>
          <w:tcPr>
            <w:tcW w:w="945" w:type="dxa"/>
            <w:vMerge w:val="continue"/>
            <w:vAlign w:val="center"/>
          </w:tcPr>
          <w:p>
            <w:pPr>
              <w:spacing w:line="240" w:lineRule="exact"/>
              <w:rPr>
                <w:b/>
                <w:kern w:val="0"/>
                <w:szCs w:val="21"/>
              </w:rPr>
            </w:pPr>
          </w:p>
        </w:tc>
        <w:tc>
          <w:tcPr>
            <w:tcW w:w="4290" w:type="dxa"/>
            <w:vAlign w:val="center"/>
          </w:tcPr>
          <w:p>
            <w:pPr>
              <w:spacing w:line="240" w:lineRule="exact"/>
              <w:rPr>
                <w:szCs w:val="21"/>
              </w:rPr>
            </w:pPr>
            <w:r>
              <w:rPr>
                <w:szCs w:val="21"/>
              </w:rPr>
              <w:t>（4）有依法缴纳税收的良好记录</w:t>
            </w:r>
          </w:p>
        </w:tc>
        <w:tc>
          <w:tcPr>
            <w:tcW w:w="3024" w:type="dxa"/>
            <w:vMerge w:val="continue"/>
            <w:vAlign w:val="center"/>
          </w:tcPr>
          <w:p>
            <w:pPr>
              <w:spacing w:line="24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638" w:type="dxa"/>
            <w:vMerge w:val="continue"/>
            <w:vAlign w:val="center"/>
          </w:tcPr>
          <w:p>
            <w:pPr>
              <w:spacing w:line="240" w:lineRule="exact"/>
              <w:jc w:val="center"/>
              <w:rPr>
                <w:b/>
                <w:kern w:val="0"/>
                <w:szCs w:val="21"/>
              </w:rPr>
            </w:pPr>
          </w:p>
        </w:tc>
        <w:tc>
          <w:tcPr>
            <w:tcW w:w="945" w:type="dxa"/>
            <w:vMerge w:val="continue"/>
            <w:vAlign w:val="center"/>
          </w:tcPr>
          <w:p>
            <w:pPr>
              <w:spacing w:line="240" w:lineRule="exact"/>
              <w:rPr>
                <w:b/>
                <w:kern w:val="0"/>
                <w:szCs w:val="21"/>
              </w:rPr>
            </w:pPr>
          </w:p>
        </w:tc>
        <w:tc>
          <w:tcPr>
            <w:tcW w:w="4290" w:type="dxa"/>
            <w:vAlign w:val="center"/>
          </w:tcPr>
          <w:p>
            <w:pPr>
              <w:spacing w:line="240" w:lineRule="exact"/>
              <w:rPr>
                <w:szCs w:val="21"/>
              </w:rPr>
            </w:pPr>
            <w:r>
              <w:rPr>
                <w:szCs w:val="21"/>
              </w:rPr>
              <w:t>（5）参加政府采购活动前三年内，在经营活动中没有重大违法记录</w:t>
            </w:r>
          </w:p>
        </w:tc>
        <w:tc>
          <w:tcPr>
            <w:tcW w:w="3024" w:type="dxa"/>
            <w:vMerge w:val="continue"/>
            <w:vAlign w:val="center"/>
          </w:tcPr>
          <w:p>
            <w:pPr>
              <w:spacing w:line="24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638" w:type="dxa"/>
            <w:vMerge w:val="continue"/>
            <w:vAlign w:val="center"/>
          </w:tcPr>
          <w:p>
            <w:pPr>
              <w:spacing w:line="240" w:lineRule="exact"/>
              <w:jc w:val="center"/>
              <w:rPr>
                <w:b/>
                <w:kern w:val="0"/>
                <w:szCs w:val="21"/>
              </w:rPr>
            </w:pPr>
          </w:p>
        </w:tc>
        <w:tc>
          <w:tcPr>
            <w:tcW w:w="945" w:type="dxa"/>
            <w:vMerge w:val="continue"/>
            <w:vAlign w:val="center"/>
          </w:tcPr>
          <w:p>
            <w:pPr>
              <w:spacing w:line="240" w:lineRule="exact"/>
              <w:rPr>
                <w:b/>
                <w:kern w:val="0"/>
                <w:szCs w:val="21"/>
              </w:rPr>
            </w:pPr>
          </w:p>
        </w:tc>
        <w:tc>
          <w:tcPr>
            <w:tcW w:w="4290" w:type="dxa"/>
            <w:vAlign w:val="center"/>
          </w:tcPr>
          <w:p>
            <w:pPr>
              <w:spacing w:line="240" w:lineRule="exact"/>
              <w:rPr>
                <w:szCs w:val="21"/>
              </w:rPr>
            </w:pPr>
            <w:r>
              <w:rPr>
                <w:szCs w:val="21"/>
              </w:rPr>
              <w:t>（6）法律、行政法规规定的其他条件</w:t>
            </w:r>
          </w:p>
        </w:tc>
        <w:tc>
          <w:tcPr>
            <w:tcW w:w="3024" w:type="dxa"/>
            <w:vMerge w:val="continue"/>
            <w:vAlign w:val="center"/>
          </w:tcPr>
          <w:p>
            <w:pPr>
              <w:spacing w:line="24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8" w:type="dxa"/>
            <w:vAlign w:val="center"/>
          </w:tcPr>
          <w:p>
            <w:pPr>
              <w:spacing w:line="240" w:lineRule="exact"/>
              <w:jc w:val="center"/>
              <w:rPr>
                <w:b/>
                <w:kern w:val="0"/>
                <w:szCs w:val="21"/>
              </w:rPr>
            </w:pPr>
            <w:r>
              <w:rPr>
                <w:b/>
                <w:kern w:val="0"/>
                <w:szCs w:val="21"/>
              </w:rPr>
              <w:t>2</w:t>
            </w:r>
          </w:p>
        </w:tc>
        <w:tc>
          <w:tcPr>
            <w:tcW w:w="5235" w:type="dxa"/>
            <w:gridSpan w:val="2"/>
            <w:vAlign w:val="center"/>
          </w:tcPr>
          <w:p>
            <w:pPr>
              <w:spacing w:line="240" w:lineRule="exact"/>
              <w:rPr>
                <w:b/>
                <w:kern w:val="0"/>
                <w:szCs w:val="21"/>
              </w:rPr>
            </w:pPr>
            <w:r>
              <w:rPr>
                <w:b/>
                <w:kern w:val="0"/>
                <w:szCs w:val="21"/>
              </w:rPr>
              <w:t>特定资格条件（如果有）</w:t>
            </w:r>
          </w:p>
        </w:tc>
        <w:tc>
          <w:tcPr>
            <w:tcW w:w="3024" w:type="dxa"/>
            <w:vAlign w:val="center"/>
          </w:tcPr>
          <w:p>
            <w:pPr>
              <w:spacing w:line="240" w:lineRule="exact"/>
              <w:rPr>
                <w:b/>
                <w:kern w:val="0"/>
                <w:szCs w:val="21"/>
              </w:rPr>
            </w:pPr>
            <w:r>
              <w:rPr>
                <w:rFonts w:hint="eastAsia"/>
                <w:szCs w:val="21"/>
              </w:rPr>
              <w:t>无</w:t>
            </w:r>
          </w:p>
        </w:tc>
      </w:tr>
    </w:tbl>
    <w:p>
      <w:pPr>
        <w:spacing w:line="440" w:lineRule="exact"/>
        <w:ind w:firstLine="420" w:firstLineChars="200"/>
        <w:rPr>
          <w:rFonts w:ascii="微软雅黑" w:hAnsi="微软雅黑" w:eastAsia="微软雅黑"/>
          <w:szCs w:val="21"/>
        </w:rPr>
      </w:pPr>
      <w:r>
        <w:rPr>
          <w:rFonts w:ascii="微软雅黑" w:hAnsi="微软雅黑" w:eastAsia="微软雅黑"/>
          <w:szCs w:val="21"/>
        </w:rPr>
        <w:t>注：供应商应对所提供的全部资料的真实性负责，如提供虚假材料，一经查实，将取消</w:t>
      </w:r>
      <w:r>
        <w:rPr>
          <w:rFonts w:hint="eastAsia" w:ascii="微软雅黑" w:hAnsi="微软雅黑" w:eastAsia="微软雅黑"/>
          <w:szCs w:val="21"/>
        </w:rPr>
        <w:t>评比</w:t>
      </w:r>
      <w:r>
        <w:rPr>
          <w:rFonts w:ascii="微软雅黑" w:hAnsi="微软雅黑" w:eastAsia="微软雅黑"/>
          <w:szCs w:val="21"/>
        </w:rPr>
        <w:t>资格或中标资格，并按照《政府采购法》及相关法律法规的规定进行处理。</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2. 符合性检查。依据</w:t>
      </w:r>
      <w:r>
        <w:rPr>
          <w:rFonts w:hint="eastAsia" w:ascii="微软雅黑" w:hAnsi="微软雅黑" w:eastAsia="微软雅黑"/>
          <w:szCs w:val="21"/>
        </w:rPr>
        <w:t>评比</w:t>
      </w:r>
      <w:r>
        <w:rPr>
          <w:rFonts w:ascii="微软雅黑" w:hAnsi="微软雅黑" w:eastAsia="微软雅黑"/>
          <w:szCs w:val="21"/>
        </w:rPr>
        <w:t>文件的规定，从响应文件的有效性、完整性和对</w:t>
      </w:r>
      <w:r>
        <w:rPr>
          <w:rFonts w:hint="eastAsia" w:ascii="微软雅黑" w:hAnsi="微软雅黑" w:eastAsia="微软雅黑"/>
          <w:szCs w:val="21"/>
        </w:rPr>
        <w:t>评比</w:t>
      </w:r>
      <w:r>
        <w:rPr>
          <w:rFonts w:ascii="微软雅黑" w:hAnsi="微软雅黑" w:eastAsia="微软雅黑"/>
          <w:szCs w:val="21"/>
        </w:rPr>
        <w:t>文件的响应程度进行审查，以确定是否对</w:t>
      </w:r>
      <w:r>
        <w:rPr>
          <w:rFonts w:hint="eastAsia" w:ascii="微软雅黑" w:hAnsi="微软雅黑" w:eastAsia="微软雅黑"/>
          <w:szCs w:val="21"/>
        </w:rPr>
        <w:t>评比</w:t>
      </w:r>
      <w:r>
        <w:rPr>
          <w:rFonts w:ascii="微软雅黑" w:hAnsi="微软雅黑" w:eastAsia="微软雅黑"/>
          <w:szCs w:val="21"/>
        </w:rPr>
        <w:t>文件的实质性要求作出响应。符合性检查资料表如下：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37"/>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75" w:type="dxa"/>
            <w:vAlign w:val="center"/>
          </w:tcPr>
          <w:p>
            <w:pPr>
              <w:spacing w:line="240" w:lineRule="exact"/>
              <w:jc w:val="center"/>
              <w:rPr>
                <w:b/>
                <w:kern w:val="0"/>
                <w:szCs w:val="21"/>
              </w:rPr>
            </w:pPr>
            <w:r>
              <w:rPr>
                <w:b/>
                <w:kern w:val="0"/>
                <w:szCs w:val="21"/>
              </w:rPr>
              <w:t>序号</w:t>
            </w:r>
          </w:p>
        </w:tc>
        <w:tc>
          <w:tcPr>
            <w:tcW w:w="3413" w:type="dxa"/>
            <w:gridSpan w:val="2"/>
            <w:vAlign w:val="center"/>
          </w:tcPr>
          <w:p>
            <w:pPr>
              <w:spacing w:line="240" w:lineRule="exact"/>
              <w:jc w:val="center"/>
              <w:rPr>
                <w:b/>
                <w:kern w:val="0"/>
                <w:szCs w:val="21"/>
              </w:rPr>
            </w:pPr>
            <w:r>
              <w:rPr>
                <w:b/>
                <w:kern w:val="0"/>
                <w:szCs w:val="21"/>
              </w:rPr>
              <w:t>评审因素</w:t>
            </w:r>
          </w:p>
        </w:tc>
        <w:tc>
          <w:tcPr>
            <w:tcW w:w="4809" w:type="dxa"/>
            <w:vAlign w:val="center"/>
          </w:tcPr>
          <w:p>
            <w:pPr>
              <w:spacing w:line="240" w:lineRule="exact"/>
              <w:jc w:val="center"/>
              <w:rPr>
                <w:b/>
                <w:kern w:val="0"/>
                <w:szCs w:val="21"/>
              </w:rPr>
            </w:pPr>
            <w:r>
              <w:rPr>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5" w:type="dxa"/>
            <w:vMerge w:val="restart"/>
            <w:vAlign w:val="center"/>
          </w:tcPr>
          <w:p>
            <w:pPr>
              <w:spacing w:line="240" w:lineRule="exact"/>
              <w:rPr>
                <w:szCs w:val="21"/>
              </w:rPr>
            </w:pPr>
            <w:r>
              <w:rPr>
                <w:rFonts w:hint="eastAsia"/>
                <w:szCs w:val="21"/>
              </w:rPr>
              <w:t>１</w:t>
            </w:r>
          </w:p>
        </w:tc>
        <w:tc>
          <w:tcPr>
            <w:tcW w:w="1276" w:type="dxa"/>
            <w:vMerge w:val="restart"/>
            <w:vAlign w:val="center"/>
          </w:tcPr>
          <w:p>
            <w:pPr>
              <w:spacing w:line="240" w:lineRule="exact"/>
              <w:rPr>
                <w:szCs w:val="21"/>
              </w:rPr>
            </w:pPr>
            <w:r>
              <w:rPr>
                <w:szCs w:val="21"/>
              </w:rPr>
              <w:t>有效性审查</w:t>
            </w:r>
          </w:p>
        </w:tc>
        <w:tc>
          <w:tcPr>
            <w:tcW w:w="2137" w:type="dxa"/>
            <w:vAlign w:val="center"/>
          </w:tcPr>
          <w:p>
            <w:pPr>
              <w:spacing w:line="240" w:lineRule="exact"/>
              <w:rPr>
                <w:szCs w:val="21"/>
              </w:rPr>
            </w:pPr>
            <w:r>
              <w:rPr>
                <w:szCs w:val="21"/>
              </w:rPr>
              <w:t>法定代表人身份证明</w:t>
            </w:r>
            <w:r>
              <w:rPr>
                <w:rFonts w:hint="eastAsia"/>
                <w:szCs w:val="21"/>
              </w:rPr>
              <w:t>或者</w:t>
            </w:r>
            <w:r>
              <w:rPr>
                <w:szCs w:val="21"/>
              </w:rPr>
              <w:t>授权委托书</w:t>
            </w:r>
          </w:p>
        </w:tc>
        <w:tc>
          <w:tcPr>
            <w:tcW w:w="4809" w:type="dxa"/>
            <w:vAlign w:val="center"/>
          </w:tcPr>
          <w:p>
            <w:pPr>
              <w:spacing w:line="240" w:lineRule="exact"/>
              <w:rPr>
                <w:szCs w:val="21"/>
              </w:rPr>
            </w:pPr>
            <w:r>
              <w:rPr>
                <w:szCs w:val="21"/>
              </w:rPr>
              <w:t>法定代表人身份证明</w:t>
            </w:r>
            <w:r>
              <w:rPr>
                <w:rFonts w:hint="eastAsia"/>
                <w:szCs w:val="21"/>
              </w:rPr>
              <w:t>或者</w:t>
            </w:r>
            <w:r>
              <w:rPr>
                <w:szCs w:val="21"/>
              </w:rPr>
              <w:t>授权委托书有效，符合</w:t>
            </w:r>
            <w:r>
              <w:rPr>
                <w:rFonts w:hint="eastAsia"/>
                <w:szCs w:val="21"/>
              </w:rPr>
              <w:t>评比</w:t>
            </w:r>
            <w:r>
              <w:rPr>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5" w:type="dxa"/>
            <w:vMerge w:val="continue"/>
            <w:vAlign w:val="center"/>
          </w:tcPr>
          <w:p>
            <w:pPr>
              <w:spacing w:line="240" w:lineRule="exact"/>
              <w:rPr>
                <w:szCs w:val="21"/>
              </w:rPr>
            </w:pPr>
          </w:p>
        </w:tc>
        <w:tc>
          <w:tcPr>
            <w:tcW w:w="1276" w:type="dxa"/>
            <w:vMerge w:val="continue"/>
            <w:vAlign w:val="center"/>
          </w:tcPr>
          <w:p>
            <w:pPr>
              <w:spacing w:line="240" w:lineRule="exact"/>
              <w:rPr>
                <w:szCs w:val="21"/>
              </w:rPr>
            </w:pPr>
          </w:p>
        </w:tc>
        <w:tc>
          <w:tcPr>
            <w:tcW w:w="2137" w:type="dxa"/>
            <w:vAlign w:val="center"/>
          </w:tcPr>
          <w:p>
            <w:pPr>
              <w:spacing w:line="240" w:lineRule="exact"/>
              <w:rPr>
                <w:szCs w:val="21"/>
              </w:rPr>
            </w:pPr>
            <w:r>
              <w:rPr>
                <w:rFonts w:hint="eastAsia"/>
                <w:szCs w:val="21"/>
              </w:rPr>
              <w:t>评比</w:t>
            </w:r>
            <w:r>
              <w:rPr>
                <w:szCs w:val="21"/>
              </w:rPr>
              <w:t>方案</w:t>
            </w:r>
          </w:p>
        </w:tc>
        <w:tc>
          <w:tcPr>
            <w:tcW w:w="4809" w:type="dxa"/>
            <w:vAlign w:val="center"/>
          </w:tcPr>
          <w:p>
            <w:pPr>
              <w:spacing w:line="240" w:lineRule="exact"/>
              <w:rPr>
                <w:szCs w:val="21"/>
              </w:rPr>
            </w:pPr>
            <w:r>
              <w:rPr>
                <w:szCs w:val="21"/>
              </w:rPr>
              <w:t>只能有一个方案参与</w:t>
            </w:r>
            <w:r>
              <w:rPr>
                <w:rFonts w:hint="eastAsia"/>
                <w:szCs w:val="21"/>
              </w:rPr>
              <w:t>评比</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5" w:type="dxa"/>
            <w:vAlign w:val="center"/>
          </w:tcPr>
          <w:p>
            <w:pPr>
              <w:spacing w:line="240" w:lineRule="exact"/>
              <w:rPr>
                <w:szCs w:val="21"/>
              </w:rPr>
            </w:pPr>
            <w:r>
              <w:rPr>
                <w:szCs w:val="21"/>
              </w:rPr>
              <w:t>2</w:t>
            </w:r>
          </w:p>
        </w:tc>
        <w:tc>
          <w:tcPr>
            <w:tcW w:w="1276" w:type="dxa"/>
            <w:vAlign w:val="center"/>
          </w:tcPr>
          <w:p>
            <w:pPr>
              <w:spacing w:line="240" w:lineRule="exact"/>
              <w:rPr>
                <w:szCs w:val="21"/>
              </w:rPr>
            </w:pPr>
            <w:r>
              <w:rPr>
                <w:szCs w:val="21"/>
              </w:rPr>
              <w:t>完整性审查</w:t>
            </w:r>
          </w:p>
        </w:tc>
        <w:tc>
          <w:tcPr>
            <w:tcW w:w="2137" w:type="dxa"/>
            <w:vAlign w:val="center"/>
          </w:tcPr>
          <w:p>
            <w:pPr>
              <w:spacing w:line="240" w:lineRule="exact"/>
              <w:rPr>
                <w:szCs w:val="21"/>
              </w:rPr>
            </w:pPr>
            <w:r>
              <w:rPr>
                <w:szCs w:val="21"/>
              </w:rPr>
              <w:t>响应文件份数</w:t>
            </w:r>
          </w:p>
        </w:tc>
        <w:tc>
          <w:tcPr>
            <w:tcW w:w="4809" w:type="dxa"/>
            <w:vAlign w:val="center"/>
          </w:tcPr>
          <w:p>
            <w:pPr>
              <w:spacing w:line="240" w:lineRule="exact"/>
              <w:rPr>
                <w:szCs w:val="21"/>
              </w:rPr>
            </w:pPr>
            <w:r>
              <w:rPr>
                <w:szCs w:val="21"/>
              </w:rPr>
              <w:t>响应文件正、副本数量符合本</w:t>
            </w:r>
            <w:r>
              <w:rPr>
                <w:rFonts w:hint="eastAsia"/>
                <w:szCs w:val="21"/>
              </w:rPr>
              <w:t>评比</w:t>
            </w:r>
            <w:r>
              <w:rPr>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5" w:type="dxa"/>
            <w:vMerge w:val="restart"/>
            <w:vAlign w:val="center"/>
          </w:tcPr>
          <w:p>
            <w:pPr>
              <w:spacing w:line="240" w:lineRule="exact"/>
              <w:rPr>
                <w:szCs w:val="21"/>
              </w:rPr>
            </w:pPr>
            <w:r>
              <w:rPr>
                <w:szCs w:val="21"/>
              </w:rPr>
              <w:t>3</w:t>
            </w:r>
          </w:p>
        </w:tc>
        <w:tc>
          <w:tcPr>
            <w:tcW w:w="1276" w:type="dxa"/>
            <w:vMerge w:val="restart"/>
            <w:vAlign w:val="center"/>
          </w:tcPr>
          <w:p>
            <w:pPr>
              <w:spacing w:line="240" w:lineRule="exact"/>
              <w:rPr>
                <w:szCs w:val="21"/>
              </w:rPr>
            </w:pPr>
            <w:r>
              <w:rPr>
                <w:szCs w:val="21"/>
              </w:rPr>
              <w:t>实质性审查</w:t>
            </w:r>
          </w:p>
        </w:tc>
        <w:tc>
          <w:tcPr>
            <w:tcW w:w="2137" w:type="dxa"/>
            <w:vAlign w:val="center"/>
          </w:tcPr>
          <w:p>
            <w:pPr>
              <w:spacing w:line="240" w:lineRule="exact"/>
              <w:rPr>
                <w:szCs w:val="21"/>
              </w:rPr>
            </w:pPr>
            <w:r>
              <w:rPr>
                <w:szCs w:val="21"/>
              </w:rPr>
              <w:t>响应文件内容</w:t>
            </w:r>
          </w:p>
        </w:tc>
        <w:tc>
          <w:tcPr>
            <w:tcW w:w="4809" w:type="dxa"/>
            <w:vAlign w:val="center"/>
          </w:tcPr>
          <w:p>
            <w:pPr>
              <w:spacing w:line="240" w:lineRule="exact"/>
              <w:rPr>
                <w:szCs w:val="21"/>
              </w:rPr>
            </w:pPr>
            <w:r>
              <w:rPr>
                <w:szCs w:val="21"/>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vMerge w:val="continue"/>
            <w:vAlign w:val="center"/>
          </w:tcPr>
          <w:p>
            <w:pPr>
              <w:spacing w:line="240" w:lineRule="exact"/>
              <w:rPr>
                <w:szCs w:val="21"/>
              </w:rPr>
            </w:pPr>
          </w:p>
        </w:tc>
        <w:tc>
          <w:tcPr>
            <w:tcW w:w="1276" w:type="dxa"/>
            <w:vMerge w:val="continue"/>
            <w:vAlign w:val="center"/>
          </w:tcPr>
          <w:p>
            <w:pPr>
              <w:spacing w:line="240" w:lineRule="exact"/>
              <w:rPr>
                <w:szCs w:val="21"/>
              </w:rPr>
            </w:pPr>
          </w:p>
        </w:tc>
        <w:tc>
          <w:tcPr>
            <w:tcW w:w="2137" w:type="dxa"/>
            <w:vAlign w:val="center"/>
          </w:tcPr>
          <w:p>
            <w:pPr>
              <w:spacing w:line="240" w:lineRule="exact"/>
              <w:rPr>
                <w:szCs w:val="21"/>
              </w:rPr>
            </w:pPr>
            <w:r>
              <w:rPr>
                <w:rFonts w:hint="eastAsia"/>
                <w:szCs w:val="21"/>
              </w:rPr>
              <w:t>评比</w:t>
            </w:r>
            <w:r>
              <w:rPr>
                <w:szCs w:val="21"/>
              </w:rPr>
              <w:t>有效期</w:t>
            </w:r>
          </w:p>
        </w:tc>
        <w:tc>
          <w:tcPr>
            <w:tcW w:w="4809" w:type="dxa"/>
            <w:vAlign w:val="center"/>
          </w:tcPr>
          <w:p>
            <w:pPr>
              <w:spacing w:line="240" w:lineRule="exact"/>
              <w:rPr>
                <w:szCs w:val="21"/>
              </w:rPr>
            </w:pPr>
            <w:r>
              <w:rPr>
                <w:szCs w:val="21"/>
              </w:rPr>
              <w:t>满足</w:t>
            </w:r>
            <w:r>
              <w:rPr>
                <w:rFonts w:hint="eastAsia"/>
                <w:szCs w:val="21"/>
              </w:rPr>
              <w:t>评比</w:t>
            </w:r>
            <w:r>
              <w:rPr>
                <w:szCs w:val="21"/>
              </w:rPr>
              <w:t>文件规定。</w:t>
            </w:r>
          </w:p>
        </w:tc>
      </w:tr>
    </w:tbl>
    <w:p>
      <w:pPr>
        <w:spacing w:line="440" w:lineRule="exact"/>
        <w:ind w:firstLine="420" w:firstLineChars="200"/>
        <w:rPr>
          <w:rFonts w:ascii="微软雅黑" w:hAnsi="微软雅黑" w:eastAsia="微软雅黑"/>
          <w:szCs w:val="21"/>
        </w:rPr>
      </w:pPr>
      <w:r>
        <w:rPr>
          <w:rFonts w:ascii="微软雅黑" w:hAnsi="微软雅黑" w:eastAsia="微软雅黑"/>
          <w:szCs w:val="21"/>
        </w:rPr>
        <w:t>3. 澄清有关问题。</w:t>
      </w:r>
      <w:r>
        <w:rPr>
          <w:rFonts w:hint="eastAsia" w:ascii="微软雅黑" w:hAnsi="微软雅黑" w:eastAsia="微软雅黑"/>
          <w:szCs w:val="21"/>
        </w:rPr>
        <w:t>评比</w:t>
      </w:r>
      <w:r>
        <w:rPr>
          <w:rFonts w:ascii="微软雅黑" w:hAnsi="微软雅黑" w:eastAsia="微软雅黑"/>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 xml:space="preserve">4. </w:t>
      </w:r>
      <w:r>
        <w:rPr>
          <w:rFonts w:hint="eastAsia" w:ascii="微软雅黑" w:hAnsi="微软雅黑" w:eastAsia="微软雅黑"/>
          <w:szCs w:val="21"/>
        </w:rPr>
        <w:t>评比</w:t>
      </w:r>
      <w:r>
        <w:rPr>
          <w:rFonts w:ascii="微软雅黑" w:hAnsi="微软雅黑" w:eastAsia="微软雅黑"/>
          <w:szCs w:val="21"/>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5. 在</w:t>
      </w:r>
      <w:r>
        <w:rPr>
          <w:rFonts w:hint="eastAsia" w:ascii="微软雅黑" w:hAnsi="微软雅黑" w:eastAsia="微软雅黑"/>
          <w:szCs w:val="21"/>
        </w:rPr>
        <w:t>评比</w:t>
      </w:r>
      <w:r>
        <w:rPr>
          <w:rFonts w:ascii="微软雅黑" w:hAnsi="微软雅黑" w:eastAsia="微软雅黑"/>
          <w:szCs w:val="21"/>
        </w:rPr>
        <w:t>过程中</w:t>
      </w:r>
      <w:r>
        <w:rPr>
          <w:rFonts w:hint="eastAsia" w:ascii="微软雅黑" w:hAnsi="微软雅黑" w:eastAsia="微软雅黑"/>
          <w:szCs w:val="21"/>
        </w:rPr>
        <w:t>评比</w:t>
      </w:r>
      <w:r>
        <w:rPr>
          <w:rFonts w:ascii="微软雅黑" w:hAnsi="微软雅黑" w:eastAsia="微软雅黑"/>
          <w:szCs w:val="21"/>
        </w:rPr>
        <w:t>的任何一方不得向他人透露与</w:t>
      </w:r>
      <w:r>
        <w:rPr>
          <w:rFonts w:hint="eastAsia" w:ascii="微软雅黑" w:hAnsi="微软雅黑" w:eastAsia="微软雅黑"/>
          <w:szCs w:val="21"/>
        </w:rPr>
        <w:t>评比</w:t>
      </w:r>
      <w:r>
        <w:rPr>
          <w:rFonts w:ascii="微软雅黑" w:hAnsi="微软雅黑" w:eastAsia="微软雅黑"/>
          <w:szCs w:val="21"/>
        </w:rPr>
        <w:t>有关的相关信息。</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6. 本项目采用综合评分法。综合评分法是指响应文件满足</w:t>
      </w:r>
      <w:r>
        <w:rPr>
          <w:rFonts w:hint="eastAsia" w:ascii="微软雅黑" w:hAnsi="微软雅黑" w:eastAsia="微软雅黑"/>
          <w:szCs w:val="21"/>
        </w:rPr>
        <w:t>评比</w:t>
      </w:r>
      <w:r>
        <w:rPr>
          <w:rFonts w:ascii="微软雅黑" w:hAnsi="微软雅黑" w:eastAsia="微软雅黑"/>
          <w:szCs w:val="21"/>
        </w:rPr>
        <w:t>文件全部实质性要求且按照评审因素的量化指标评审得分最高的供应商为中选候选供应商的评审方法。供应商总得分为报价、实力、业绩、办公场地、服务评价、专业团队、服务方案等评定因素分别按照相应权重值计算分项得分后相加，满分为100分。（详见评审标准）</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 xml:space="preserve">7. </w:t>
      </w:r>
      <w:r>
        <w:rPr>
          <w:rFonts w:hint="eastAsia" w:ascii="微软雅黑" w:hAnsi="微软雅黑" w:eastAsia="微软雅黑"/>
          <w:szCs w:val="21"/>
        </w:rPr>
        <w:t>评比</w:t>
      </w:r>
      <w:r>
        <w:rPr>
          <w:rFonts w:ascii="微软雅黑" w:hAnsi="微软雅黑" w:eastAsia="微软雅黑"/>
          <w:szCs w:val="21"/>
        </w:rPr>
        <w:t>小组各成员独立对每个有效响应的文件进行评价、打分，然后汇总每个供应商每项评分因素的得分，并根据综合评分情况按照评审得分由高到低顺序推荐3名中选候选供应商，并编写评审报告，得分最高的为第一中选候选人。若供应商的评审得分相同的，按照服务方案的优劣顺序排列推荐。</w:t>
      </w:r>
    </w:p>
    <w:p>
      <w:pPr>
        <w:pStyle w:val="4"/>
        <w:spacing w:line="480" w:lineRule="exact"/>
        <w:ind w:firstLine="480" w:firstLineChars="200"/>
      </w:pPr>
      <w:bookmarkStart w:id="62" w:name="_Toc32615"/>
      <w:bookmarkStart w:id="63" w:name="_Toc13915"/>
      <w:r>
        <w:rPr>
          <w:rFonts w:ascii="微软雅黑" w:hAnsi="微软雅黑" w:eastAsia="微软雅黑"/>
          <w:b/>
          <w:sz w:val="24"/>
        </w:rPr>
        <w:t>二、评审标准</w:t>
      </w:r>
      <w:bookmarkEnd w:id="62"/>
      <w:bookmarkEnd w:id="63"/>
    </w:p>
    <w:tbl>
      <w:tblPr>
        <w:tblStyle w:val="12"/>
        <w:tblpPr w:leftFromText="180" w:rightFromText="180" w:vertAnchor="text" w:horzAnchor="page" w:tblpX="1203"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543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b/>
                <w:szCs w:val="21"/>
              </w:rPr>
            </w:pPr>
            <w:bookmarkStart w:id="64" w:name="_Toc532648436"/>
            <w:bookmarkStart w:id="65" w:name="_Toc30288"/>
            <w:r>
              <w:rPr>
                <w:rFonts w:ascii="宋体" w:hAnsi="宋体"/>
                <w:b/>
                <w:szCs w:val="21"/>
              </w:rPr>
              <w:t>序号</w:t>
            </w:r>
          </w:p>
        </w:tc>
        <w:tc>
          <w:tcPr>
            <w:tcW w:w="1276" w:type="dxa"/>
            <w:vAlign w:val="center"/>
          </w:tcPr>
          <w:p>
            <w:pPr>
              <w:spacing w:line="240" w:lineRule="atLeast"/>
              <w:ind w:firstLine="28"/>
              <w:jc w:val="center"/>
              <w:rPr>
                <w:rFonts w:ascii="宋体" w:hAnsi="宋体"/>
                <w:b/>
                <w:szCs w:val="21"/>
              </w:rPr>
            </w:pPr>
            <w:r>
              <w:rPr>
                <w:rFonts w:ascii="宋体" w:hAnsi="宋体"/>
                <w:b/>
                <w:szCs w:val="21"/>
              </w:rPr>
              <w:t>评分因素及权值</w:t>
            </w:r>
          </w:p>
        </w:tc>
        <w:tc>
          <w:tcPr>
            <w:tcW w:w="1276" w:type="dxa"/>
            <w:vAlign w:val="center"/>
          </w:tcPr>
          <w:p>
            <w:pPr>
              <w:spacing w:line="240" w:lineRule="atLeast"/>
              <w:ind w:firstLine="28"/>
              <w:jc w:val="center"/>
              <w:rPr>
                <w:rFonts w:ascii="宋体" w:hAnsi="宋体"/>
                <w:b/>
                <w:szCs w:val="21"/>
              </w:rPr>
            </w:pPr>
            <w:r>
              <w:rPr>
                <w:rFonts w:ascii="宋体" w:hAnsi="宋体"/>
                <w:b/>
                <w:szCs w:val="21"/>
              </w:rPr>
              <w:t>分值</w:t>
            </w:r>
          </w:p>
        </w:tc>
        <w:tc>
          <w:tcPr>
            <w:tcW w:w="5439" w:type="dxa"/>
            <w:vAlign w:val="center"/>
          </w:tcPr>
          <w:p>
            <w:pPr>
              <w:spacing w:line="240" w:lineRule="atLeast"/>
              <w:ind w:firstLine="28"/>
              <w:jc w:val="center"/>
              <w:rPr>
                <w:rFonts w:ascii="宋体" w:hAnsi="宋体"/>
                <w:b/>
                <w:szCs w:val="21"/>
              </w:rPr>
            </w:pPr>
            <w:r>
              <w:rPr>
                <w:rFonts w:ascii="宋体" w:hAnsi="宋体"/>
                <w:b/>
                <w:szCs w:val="21"/>
              </w:rPr>
              <w:t>评分标准</w:t>
            </w:r>
          </w:p>
        </w:tc>
        <w:tc>
          <w:tcPr>
            <w:tcW w:w="1070" w:type="dxa"/>
            <w:vAlign w:val="center"/>
          </w:tcPr>
          <w:p>
            <w:pPr>
              <w:pStyle w:val="18"/>
              <w:spacing w:before="0" w:after="0" w:line="240" w:lineRule="atLeast"/>
              <w:ind w:firstLine="420"/>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675" w:type="dxa"/>
            <w:vAlign w:val="center"/>
          </w:tcPr>
          <w:p>
            <w:pPr>
              <w:spacing w:line="240" w:lineRule="atLeast"/>
              <w:ind w:firstLine="28"/>
              <w:jc w:val="center"/>
              <w:rPr>
                <w:rFonts w:ascii="宋体" w:hAnsi="宋体"/>
                <w:szCs w:val="21"/>
              </w:rPr>
            </w:pPr>
            <w:r>
              <w:rPr>
                <w:rFonts w:ascii="宋体" w:hAnsi="宋体"/>
                <w:szCs w:val="21"/>
              </w:rPr>
              <w:t>1</w:t>
            </w:r>
          </w:p>
        </w:tc>
        <w:tc>
          <w:tcPr>
            <w:tcW w:w="1276" w:type="dxa"/>
            <w:vAlign w:val="center"/>
          </w:tcPr>
          <w:p>
            <w:pPr>
              <w:spacing w:line="240" w:lineRule="atLeast"/>
              <w:ind w:firstLine="28"/>
              <w:jc w:val="center"/>
              <w:rPr>
                <w:rFonts w:ascii="宋体" w:hAnsi="宋体"/>
                <w:color w:val="000000"/>
                <w:szCs w:val="21"/>
              </w:rPr>
            </w:pPr>
            <w:r>
              <w:rPr>
                <w:rFonts w:hint="eastAsia" w:ascii="宋体" w:hAnsi="宋体"/>
                <w:color w:val="000000"/>
                <w:szCs w:val="21"/>
              </w:rPr>
              <w:t>评比报价</w:t>
            </w:r>
          </w:p>
          <w:p>
            <w:pPr>
              <w:spacing w:line="240" w:lineRule="atLeast"/>
              <w:ind w:firstLine="28"/>
              <w:jc w:val="center"/>
              <w:rPr>
                <w:rFonts w:ascii="宋体" w:hAnsi="宋体"/>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p>
        </w:tc>
        <w:tc>
          <w:tcPr>
            <w:tcW w:w="1276" w:type="dxa"/>
            <w:vAlign w:val="center"/>
          </w:tcPr>
          <w:p>
            <w:pPr>
              <w:spacing w:line="240" w:lineRule="atLeast"/>
              <w:ind w:firstLine="28"/>
              <w:jc w:val="center"/>
              <w:rPr>
                <w:rFonts w:ascii="宋体" w:hAnsi="宋体"/>
                <w:szCs w:val="21"/>
              </w:rPr>
            </w:pPr>
            <w:r>
              <w:rPr>
                <w:rFonts w:ascii="宋体" w:hAnsi="宋体"/>
                <w:color w:val="000000"/>
                <w:szCs w:val="21"/>
              </w:rPr>
              <w:t>10</w:t>
            </w:r>
          </w:p>
        </w:tc>
        <w:tc>
          <w:tcPr>
            <w:tcW w:w="5439" w:type="dxa"/>
            <w:vAlign w:val="center"/>
          </w:tcPr>
          <w:p>
            <w:pPr>
              <w:spacing w:line="240" w:lineRule="atLeast"/>
              <w:rPr>
                <w:rFonts w:ascii="宋体" w:hAnsi="宋体"/>
                <w:color w:val="000000"/>
                <w:szCs w:val="21"/>
              </w:rPr>
            </w:pPr>
            <w:r>
              <w:rPr>
                <w:rFonts w:ascii="宋体" w:hAnsi="宋体"/>
                <w:color w:val="000000"/>
                <w:szCs w:val="21"/>
              </w:rPr>
              <w:t>满足</w:t>
            </w:r>
            <w:r>
              <w:rPr>
                <w:rFonts w:hint="eastAsia" w:ascii="宋体" w:hAnsi="宋体"/>
                <w:color w:val="000000"/>
                <w:szCs w:val="21"/>
              </w:rPr>
              <w:t>评比</w:t>
            </w:r>
            <w:r>
              <w:rPr>
                <w:rFonts w:ascii="宋体" w:hAnsi="宋体"/>
                <w:color w:val="000000"/>
                <w:szCs w:val="21"/>
              </w:rPr>
              <w:t>文件资格要求且最后报价最低的供应商的价格为</w:t>
            </w:r>
            <w:r>
              <w:rPr>
                <w:rFonts w:hint="eastAsia" w:ascii="宋体" w:hAnsi="宋体"/>
                <w:color w:val="000000"/>
                <w:szCs w:val="21"/>
              </w:rPr>
              <w:t>评比</w:t>
            </w:r>
            <w:r>
              <w:rPr>
                <w:rFonts w:ascii="宋体" w:hAnsi="宋体"/>
                <w:color w:val="000000"/>
                <w:szCs w:val="21"/>
              </w:rPr>
              <w:t>基准价，按照下列公式计算每个供应商的</w:t>
            </w:r>
            <w:r>
              <w:rPr>
                <w:rFonts w:hint="eastAsia" w:ascii="宋体" w:hAnsi="宋体"/>
                <w:color w:val="000000"/>
                <w:szCs w:val="21"/>
              </w:rPr>
              <w:t>评比</w:t>
            </w:r>
            <w:r>
              <w:rPr>
                <w:rFonts w:ascii="宋体" w:hAnsi="宋体"/>
                <w:color w:val="000000"/>
                <w:szCs w:val="21"/>
              </w:rPr>
              <w:t>报价得分。</w:t>
            </w:r>
          </w:p>
          <w:p>
            <w:pPr>
              <w:spacing w:line="240" w:lineRule="atLeast"/>
              <w:rPr>
                <w:rFonts w:ascii="宋体" w:hAnsi="宋体"/>
                <w:szCs w:val="21"/>
              </w:rPr>
            </w:pPr>
            <w:r>
              <w:rPr>
                <w:rFonts w:hint="eastAsia" w:ascii="宋体" w:hAnsi="宋体"/>
                <w:color w:val="000000"/>
                <w:szCs w:val="21"/>
              </w:rPr>
              <w:t>评比</w:t>
            </w:r>
            <w:r>
              <w:rPr>
                <w:rFonts w:ascii="宋体" w:hAnsi="宋体"/>
                <w:color w:val="000000"/>
                <w:szCs w:val="21"/>
              </w:rPr>
              <w:t>报价得分=（</w:t>
            </w:r>
            <w:r>
              <w:rPr>
                <w:rFonts w:hint="eastAsia" w:ascii="宋体" w:hAnsi="宋体"/>
                <w:color w:val="000000"/>
                <w:szCs w:val="21"/>
              </w:rPr>
              <w:t>评比</w:t>
            </w:r>
            <w:r>
              <w:rPr>
                <w:rFonts w:ascii="宋体" w:hAnsi="宋体"/>
                <w:color w:val="000000"/>
                <w:szCs w:val="21"/>
              </w:rPr>
              <w:t>基准价/最后</w:t>
            </w:r>
            <w:r>
              <w:rPr>
                <w:rFonts w:hint="eastAsia" w:ascii="宋体" w:hAnsi="宋体"/>
                <w:color w:val="000000"/>
                <w:szCs w:val="21"/>
              </w:rPr>
              <w:t>评比</w:t>
            </w:r>
            <w:r>
              <w:rPr>
                <w:rFonts w:ascii="宋体" w:hAnsi="宋体"/>
                <w:color w:val="000000"/>
                <w:szCs w:val="21"/>
              </w:rPr>
              <w:t>报价）×价格分值×100</w:t>
            </w:r>
          </w:p>
        </w:tc>
        <w:tc>
          <w:tcPr>
            <w:tcW w:w="1070" w:type="dxa"/>
            <w:vAlign w:val="center"/>
          </w:tcPr>
          <w:p>
            <w:pPr>
              <w:spacing w:line="240" w:lineRule="atLeast"/>
              <w:ind w:left="-38"/>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675" w:type="dxa"/>
            <w:vMerge w:val="restart"/>
            <w:vAlign w:val="center"/>
          </w:tcPr>
          <w:p>
            <w:pPr>
              <w:spacing w:line="240" w:lineRule="atLeast"/>
              <w:ind w:firstLine="28"/>
              <w:jc w:val="center"/>
              <w:rPr>
                <w:rFonts w:ascii="宋体" w:hAnsi="宋体"/>
                <w:szCs w:val="21"/>
              </w:rPr>
            </w:pPr>
            <w:r>
              <w:rPr>
                <w:rFonts w:hint="eastAsia" w:ascii="宋体" w:hAnsi="宋体"/>
                <w:szCs w:val="21"/>
              </w:rPr>
              <w:t>2</w:t>
            </w:r>
          </w:p>
        </w:tc>
        <w:tc>
          <w:tcPr>
            <w:tcW w:w="1276" w:type="dxa"/>
            <w:vMerge w:val="restart"/>
            <w:vAlign w:val="center"/>
          </w:tcPr>
          <w:p>
            <w:pPr>
              <w:spacing w:line="240" w:lineRule="atLeast"/>
              <w:ind w:firstLine="28"/>
              <w:jc w:val="center"/>
              <w:rPr>
                <w:rFonts w:ascii="宋体" w:hAnsi="宋体"/>
                <w:szCs w:val="21"/>
              </w:rPr>
            </w:pPr>
            <w:r>
              <w:rPr>
                <w:rFonts w:hint="eastAsia" w:ascii="宋体" w:hAnsi="宋体"/>
                <w:szCs w:val="21"/>
              </w:rPr>
              <w:t>技术部分（</w:t>
            </w:r>
            <w:r>
              <w:rPr>
                <w:rFonts w:ascii="宋体" w:hAnsi="宋体"/>
                <w:szCs w:val="21"/>
              </w:rPr>
              <w:t>4</w:t>
            </w:r>
            <w:r>
              <w:rPr>
                <w:rFonts w:hint="eastAsia" w:ascii="宋体" w:hAnsi="宋体"/>
                <w:szCs w:val="21"/>
              </w:rPr>
              <w:t>0%）</w:t>
            </w:r>
          </w:p>
        </w:tc>
        <w:tc>
          <w:tcPr>
            <w:tcW w:w="1276" w:type="dxa"/>
            <w:vMerge w:val="restart"/>
            <w:vAlign w:val="center"/>
          </w:tcPr>
          <w:p>
            <w:pPr>
              <w:spacing w:line="240" w:lineRule="atLeast"/>
              <w:ind w:firstLine="28"/>
              <w:jc w:val="center"/>
              <w:rPr>
                <w:rFonts w:ascii="宋体" w:hAnsi="宋体"/>
                <w:szCs w:val="21"/>
              </w:rPr>
            </w:pPr>
            <w:r>
              <w:rPr>
                <w:rFonts w:ascii="宋体" w:hAnsi="宋体"/>
                <w:szCs w:val="21"/>
              </w:rPr>
              <w:t>4</w:t>
            </w:r>
            <w:r>
              <w:rPr>
                <w:rFonts w:hint="eastAsia" w:ascii="宋体" w:hAnsi="宋体"/>
                <w:szCs w:val="21"/>
              </w:rPr>
              <w:t>0</w:t>
            </w:r>
          </w:p>
        </w:tc>
        <w:tc>
          <w:tcPr>
            <w:tcW w:w="5439" w:type="dxa"/>
            <w:vAlign w:val="center"/>
          </w:tcPr>
          <w:p>
            <w:pPr>
              <w:spacing w:line="240" w:lineRule="atLeast"/>
              <w:rPr>
                <w:rFonts w:ascii="宋体" w:hAnsi="宋体"/>
                <w:szCs w:val="21"/>
              </w:rPr>
            </w:pPr>
            <w:r>
              <w:rPr>
                <w:rFonts w:hint="eastAsia" w:ascii="宋体" w:hAnsi="宋体"/>
                <w:szCs w:val="21"/>
              </w:rPr>
              <w:t>1</w:t>
            </w:r>
            <w:r>
              <w:rPr>
                <w:rFonts w:ascii="宋体" w:hAnsi="宋体"/>
                <w:szCs w:val="21"/>
              </w:rPr>
              <w:t>.实施方案（</w:t>
            </w:r>
            <w:r>
              <w:rPr>
                <w:rFonts w:hint="eastAsia" w:ascii="宋体" w:hAnsi="宋体"/>
                <w:szCs w:val="21"/>
              </w:rPr>
              <w:t>2</w:t>
            </w:r>
            <w:r>
              <w:rPr>
                <w:rFonts w:ascii="宋体" w:hAnsi="宋体"/>
                <w:szCs w:val="21"/>
              </w:rPr>
              <w:t>0分）</w:t>
            </w:r>
          </w:p>
          <w:p>
            <w:pPr>
              <w:spacing w:line="240" w:lineRule="atLeast"/>
              <w:rPr>
                <w:rFonts w:ascii="宋体" w:hAnsi="宋体"/>
                <w:szCs w:val="21"/>
              </w:rPr>
            </w:pPr>
            <w:r>
              <w:rPr>
                <w:rFonts w:ascii="宋体" w:hAnsi="宋体"/>
                <w:szCs w:val="21"/>
              </w:rPr>
              <w:t>对供应商提</w:t>
            </w:r>
            <w:r>
              <w:rPr>
                <w:rFonts w:hint="eastAsia" w:ascii="宋体" w:hAnsi="宋体"/>
                <w:szCs w:val="21"/>
              </w:rPr>
              <w:t>供的网站运营方案的准确性、可行性、科学性、合理性及完整性等方面进行横向比较打分。</w:t>
            </w:r>
          </w:p>
          <w:p>
            <w:pPr>
              <w:spacing w:line="240" w:lineRule="atLeast"/>
              <w:rPr>
                <w:rFonts w:ascii="宋体" w:hAnsi="宋体"/>
                <w:szCs w:val="21"/>
              </w:rPr>
            </w:pPr>
            <w:r>
              <w:rPr>
                <w:rFonts w:hint="eastAsia" w:ascii="宋体" w:hAnsi="宋体"/>
                <w:szCs w:val="21"/>
              </w:rPr>
              <w:t>优（实施方案符合要求，针对性强）得20分，良（实施方案较符合要求，针对性较强）得15分，一般（实施方案基本符合要求，针对性一般）得10分，差（实施方案不符合要求，针对性差）得5分，未提供得0分。</w:t>
            </w:r>
          </w:p>
        </w:tc>
        <w:tc>
          <w:tcPr>
            <w:tcW w:w="1070" w:type="dxa"/>
            <w:vMerge w:val="restart"/>
            <w:vAlign w:val="center"/>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5439" w:type="dxa"/>
            <w:vAlign w:val="center"/>
          </w:tcPr>
          <w:p>
            <w:pPr>
              <w:spacing w:line="240" w:lineRule="atLeast"/>
              <w:rPr>
                <w:rFonts w:ascii="宋体" w:hAnsi="宋体"/>
                <w:szCs w:val="21"/>
              </w:rPr>
            </w:pPr>
            <w:r>
              <w:rPr>
                <w:rFonts w:hint="eastAsia" w:ascii="宋体" w:hAnsi="宋体"/>
                <w:szCs w:val="21"/>
              </w:rPr>
              <w:t>2</w:t>
            </w:r>
            <w:r>
              <w:rPr>
                <w:rFonts w:ascii="宋体" w:hAnsi="宋体"/>
                <w:color w:val="FF0000"/>
                <w:szCs w:val="21"/>
              </w:rPr>
              <w:t>.</w:t>
            </w:r>
            <w:r>
              <w:rPr>
                <w:rFonts w:hint="eastAsia" w:ascii="宋体" w:hAnsi="宋体"/>
                <w:szCs w:val="21"/>
              </w:rPr>
              <w:t>运营分析报告</w:t>
            </w:r>
            <w:r>
              <w:rPr>
                <w:rFonts w:ascii="宋体" w:hAnsi="宋体"/>
                <w:szCs w:val="21"/>
              </w:rPr>
              <w:t>（20分）</w:t>
            </w:r>
          </w:p>
          <w:p>
            <w:pPr>
              <w:spacing w:line="240" w:lineRule="atLeast"/>
              <w:rPr>
                <w:rFonts w:ascii="宋体" w:hAnsi="宋体"/>
                <w:szCs w:val="21"/>
              </w:rPr>
            </w:pPr>
            <w:r>
              <w:rPr>
                <w:rFonts w:hint="eastAsia" w:ascii="宋体" w:hAnsi="宋体"/>
                <w:szCs w:val="21"/>
              </w:rPr>
              <w:t>对供应商提供的网站运营分析报告的科学性、准确</w:t>
            </w:r>
            <w:r>
              <w:rPr>
                <w:rFonts w:hint="eastAsia" w:ascii="宋体" w:hAnsi="宋体"/>
                <w:szCs w:val="21"/>
                <w:lang w:eastAsia="zh-CN"/>
              </w:rPr>
              <w:t>性</w:t>
            </w:r>
            <w:bookmarkStart w:id="122" w:name="_GoBack"/>
            <w:bookmarkEnd w:id="122"/>
            <w:r>
              <w:rPr>
                <w:rFonts w:hint="eastAsia" w:ascii="宋体" w:hAnsi="宋体"/>
                <w:szCs w:val="21"/>
              </w:rPr>
              <w:t>、可操作性等进行横向较打分，</w:t>
            </w:r>
            <w:r>
              <w:rPr>
                <w:rFonts w:ascii="宋体" w:hAnsi="宋体"/>
                <w:szCs w:val="21"/>
              </w:rPr>
              <w:t>以期达到精确</w:t>
            </w:r>
            <w:r>
              <w:rPr>
                <w:rFonts w:hint="eastAsia" w:ascii="宋体" w:hAnsi="宋体"/>
                <w:szCs w:val="21"/>
              </w:rPr>
              <w:t>分析</w:t>
            </w:r>
            <w:r>
              <w:rPr>
                <w:rFonts w:ascii="宋体" w:hAnsi="宋体"/>
                <w:szCs w:val="21"/>
              </w:rPr>
              <w:t>、</w:t>
            </w:r>
            <w:r>
              <w:rPr>
                <w:rFonts w:hint="eastAsia" w:ascii="宋体" w:hAnsi="宋体"/>
                <w:szCs w:val="21"/>
              </w:rPr>
              <w:t>问题整改</w:t>
            </w:r>
            <w:r>
              <w:rPr>
                <w:rFonts w:ascii="宋体" w:hAnsi="宋体"/>
                <w:szCs w:val="21"/>
              </w:rPr>
              <w:t>、</w:t>
            </w:r>
            <w:r>
              <w:rPr>
                <w:rFonts w:hint="eastAsia" w:ascii="宋体" w:hAnsi="宋体"/>
                <w:szCs w:val="21"/>
              </w:rPr>
              <w:t>自查评分的</w:t>
            </w:r>
            <w:r>
              <w:rPr>
                <w:rFonts w:ascii="宋体" w:hAnsi="宋体"/>
                <w:szCs w:val="21"/>
              </w:rPr>
              <w:t>效果</w:t>
            </w:r>
            <w:r>
              <w:rPr>
                <w:rFonts w:hint="eastAsia" w:ascii="宋体" w:hAnsi="宋体"/>
                <w:szCs w:val="21"/>
              </w:rPr>
              <w:t>。</w:t>
            </w:r>
          </w:p>
          <w:p>
            <w:pPr>
              <w:spacing w:line="240" w:lineRule="atLeast"/>
              <w:rPr>
                <w:rFonts w:ascii="宋体" w:hAnsi="宋体"/>
                <w:szCs w:val="21"/>
              </w:rPr>
            </w:pPr>
            <w:r>
              <w:rPr>
                <w:rFonts w:hint="eastAsia" w:ascii="宋体" w:hAnsi="宋体"/>
                <w:szCs w:val="21"/>
              </w:rPr>
              <w:t>优（运营分析报告符合要求，针对性强）得20分，良（运营分析报告较符合要求，针对性较强）得15分，一般（运营分析报告基本符合要求，针对性一般）得10分，差（运营分析报告不符合要求，针对性差）得5分，未提供得0分。</w:t>
            </w:r>
          </w:p>
        </w:tc>
        <w:tc>
          <w:tcPr>
            <w:tcW w:w="1070" w:type="dxa"/>
            <w:vMerge w:val="continue"/>
            <w:vAlign w:val="center"/>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restart"/>
            <w:vAlign w:val="center"/>
          </w:tcPr>
          <w:p>
            <w:pPr>
              <w:spacing w:line="240" w:lineRule="atLeast"/>
              <w:ind w:firstLine="28"/>
              <w:jc w:val="center"/>
              <w:rPr>
                <w:rFonts w:ascii="宋体" w:hAnsi="宋体"/>
                <w:szCs w:val="21"/>
              </w:rPr>
            </w:pPr>
            <w:r>
              <w:rPr>
                <w:rFonts w:ascii="宋体" w:hAnsi="宋体"/>
                <w:szCs w:val="21"/>
              </w:rPr>
              <w:t>3</w:t>
            </w:r>
          </w:p>
        </w:tc>
        <w:tc>
          <w:tcPr>
            <w:tcW w:w="1276" w:type="dxa"/>
            <w:vMerge w:val="restart"/>
            <w:vAlign w:val="center"/>
          </w:tcPr>
          <w:p>
            <w:pPr>
              <w:spacing w:line="240" w:lineRule="atLeast"/>
              <w:ind w:firstLine="28"/>
              <w:jc w:val="center"/>
              <w:rPr>
                <w:rFonts w:ascii="宋体" w:hAnsi="宋体"/>
                <w:szCs w:val="21"/>
              </w:rPr>
            </w:pPr>
            <w:r>
              <w:rPr>
                <w:rFonts w:ascii="宋体" w:hAnsi="宋体"/>
                <w:szCs w:val="21"/>
              </w:rPr>
              <w:t>商务部分</w:t>
            </w:r>
          </w:p>
          <w:p>
            <w:pPr>
              <w:spacing w:line="240" w:lineRule="atLeast"/>
              <w:ind w:firstLine="28"/>
              <w:jc w:val="center"/>
              <w:rPr>
                <w:rFonts w:ascii="宋体" w:hAnsi="宋体"/>
                <w:szCs w:val="21"/>
              </w:rPr>
            </w:pPr>
            <w:r>
              <w:rPr>
                <w:rFonts w:ascii="宋体" w:hAnsi="宋体"/>
                <w:szCs w:val="21"/>
              </w:rPr>
              <w:t>（5</w:t>
            </w:r>
            <w:r>
              <w:rPr>
                <w:rFonts w:hint="eastAsia" w:ascii="宋体" w:hAnsi="宋体"/>
                <w:szCs w:val="21"/>
              </w:rPr>
              <w:t>0</w:t>
            </w:r>
            <w:r>
              <w:rPr>
                <w:rFonts w:ascii="宋体" w:hAnsi="宋体"/>
                <w:szCs w:val="21"/>
              </w:rPr>
              <w:t>%）</w:t>
            </w:r>
          </w:p>
        </w:tc>
        <w:tc>
          <w:tcPr>
            <w:tcW w:w="1276" w:type="dxa"/>
            <w:vMerge w:val="restart"/>
            <w:vAlign w:val="center"/>
          </w:tcPr>
          <w:p>
            <w:pPr>
              <w:spacing w:line="240" w:lineRule="atLeast"/>
              <w:jc w:val="center"/>
              <w:rPr>
                <w:rFonts w:ascii="宋体" w:hAnsi="宋体"/>
                <w:szCs w:val="21"/>
              </w:rPr>
            </w:pPr>
            <w:r>
              <w:rPr>
                <w:rFonts w:hint="eastAsia" w:ascii="宋体" w:hAnsi="宋体"/>
                <w:szCs w:val="21"/>
              </w:rPr>
              <w:t>综合实力</w:t>
            </w:r>
          </w:p>
          <w:p>
            <w:pPr>
              <w:spacing w:line="240" w:lineRule="atLeast"/>
              <w:jc w:val="center"/>
            </w:pPr>
            <w:r>
              <w:rPr>
                <w:rFonts w:hint="eastAsia" w:ascii="宋体" w:hAnsi="宋体"/>
                <w:szCs w:val="21"/>
              </w:rPr>
              <w:t>（</w:t>
            </w:r>
            <w:r>
              <w:rPr>
                <w:rFonts w:ascii="宋体" w:hAnsi="宋体"/>
                <w:szCs w:val="21"/>
              </w:rPr>
              <w:t>1</w:t>
            </w:r>
            <w:r>
              <w:rPr>
                <w:rFonts w:hint="eastAsia" w:ascii="宋体" w:hAnsi="宋体"/>
                <w:szCs w:val="21"/>
              </w:rPr>
              <w:t>5分）</w:t>
            </w:r>
          </w:p>
        </w:tc>
        <w:tc>
          <w:tcPr>
            <w:tcW w:w="5439" w:type="dxa"/>
            <w:vAlign w:val="center"/>
          </w:tcPr>
          <w:p>
            <w:pPr>
              <w:spacing w:line="240" w:lineRule="atLeas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投标商自有全国媒体渠道及全国媒体渠道网（全国性网络媒体渠道及全国微信传播渠道）得5分、自有重庆本地媒体传播渠道得2分，未提供得0分。</w:t>
            </w:r>
          </w:p>
        </w:tc>
        <w:tc>
          <w:tcPr>
            <w:tcW w:w="1070" w:type="dxa"/>
            <w:vMerge w:val="restart"/>
            <w:vAlign w:val="center"/>
          </w:tcPr>
          <w:p>
            <w:pPr>
              <w:spacing w:line="240" w:lineRule="atLeast"/>
              <w:ind w:left="-38"/>
              <w:rPr>
                <w:rFonts w:ascii="宋体" w:hAnsi="宋体"/>
                <w:szCs w:val="21"/>
              </w:rPr>
            </w:pPr>
            <w:r>
              <w:rPr>
                <w:rFonts w:hint="eastAsia" w:ascii="宋体" w:hAnsi="宋体"/>
                <w:szCs w:val="21"/>
              </w:rPr>
              <w:t>须提供证明材料复印件加盖公章。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jc w:val="center"/>
              <w:rPr>
                <w:rFonts w:ascii="宋体" w:hAnsi="宋体"/>
                <w:szCs w:val="21"/>
              </w:rPr>
            </w:pPr>
          </w:p>
        </w:tc>
        <w:tc>
          <w:tcPr>
            <w:tcW w:w="5439" w:type="dxa"/>
            <w:vAlign w:val="center"/>
          </w:tcPr>
          <w:p>
            <w:pPr>
              <w:spacing w:line="240" w:lineRule="atLeast"/>
              <w:rPr>
                <w:rFonts w:ascii="宋体" w:hAnsi="宋体"/>
                <w:szCs w:val="21"/>
              </w:rPr>
            </w:pPr>
            <w:r>
              <w:rPr>
                <w:rFonts w:hint="eastAsia" w:ascii="宋体" w:hAnsi="宋体"/>
                <w:szCs w:val="21"/>
              </w:rPr>
              <w:t>2.供应商原创内容获得中央部委或省级表彰，提供1个得</w:t>
            </w:r>
            <w:r>
              <w:rPr>
                <w:rFonts w:hint="eastAsia" w:ascii="宋体" w:hAnsi="宋体"/>
                <w:szCs w:val="21"/>
                <w:lang w:val="en"/>
              </w:rPr>
              <w:t>1</w:t>
            </w:r>
            <w:r>
              <w:rPr>
                <w:rFonts w:hint="eastAsia" w:ascii="宋体" w:hAnsi="宋体"/>
                <w:szCs w:val="21"/>
              </w:rPr>
              <w:t>分，最高得</w:t>
            </w:r>
            <w:r>
              <w:rPr>
                <w:rFonts w:hint="eastAsia" w:ascii="宋体" w:hAnsi="宋体"/>
                <w:szCs w:val="21"/>
                <w:lang w:val="en"/>
              </w:rPr>
              <w:t>10</w:t>
            </w:r>
            <w:r>
              <w:rPr>
                <w:rFonts w:hint="eastAsia" w:ascii="宋体" w:hAnsi="宋体"/>
                <w:szCs w:val="21"/>
              </w:rPr>
              <w:t>分，未提供得0分。</w:t>
            </w:r>
          </w:p>
        </w:tc>
        <w:tc>
          <w:tcPr>
            <w:tcW w:w="1070" w:type="dxa"/>
            <w:vMerge w:val="continue"/>
            <w:vAlign w:val="center"/>
          </w:tcPr>
          <w:p>
            <w:pPr>
              <w:spacing w:line="24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Align w:val="center"/>
          </w:tcPr>
          <w:p>
            <w:pPr>
              <w:spacing w:line="240" w:lineRule="atLeast"/>
              <w:jc w:val="center"/>
              <w:rPr>
                <w:rFonts w:ascii="宋体" w:hAnsi="宋体"/>
                <w:szCs w:val="21"/>
              </w:rPr>
            </w:pPr>
            <w:r>
              <w:rPr>
                <w:rFonts w:hint="eastAsia" w:ascii="宋体" w:hAnsi="宋体"/>
                <w:szCs w:val="21"/>
              </w:rPr>
              <w:t>推广能力</w:t>
            </w:r>
          </w:p>
          <w:p>
            <w:pPr>
              <w:spacing w:line="240" w:lineRule="atLeast"/>
              <w:jc w:val="center"/>
              <w:rPr>
                <w:rFonts w:ascii="宋体" w:hAnsi="宋体"/>
                <w:szCs w:val="21"/>
              </w:rPr>
            </w:pPr>
            <w:r>
              <w:rPr>
                <w:rFonts w:ascii="宋体" w:hAnsi="宋体"/>
                <w:szCs w:val="21"/>
              </w:rPr>
              <w:t>（</w:t>
            </w:r>
            <w:r>
              <w:rPr>
                <w:rFonts w:hint="eastAsia" w:ascii="宋体" w:hAnsi="宋体"/>
                <w:szCs w:val="21"/>
              </w:rPr>
              <w:t>10分</w:t>
            </w:r>
            <w:r>
              <w:rPr>
                <w:rFonts w:ascii="宋体" w:hAnsi="宋体"/>
                <w:szCs w:val="21"/>
              </w:rPr>
              <w:t>）</w:t>
            </w:r>
          </w:p>
        </w:tc>
        <w:tc>
          <w:tcPr>
            <w:tcW w:w="5439" w:type="dxa"/>
            <w:vAlign w:val="center"/>
          </w:tcPr>
          <w:p>
            <w:pPr>
              <w:spacing w:line="240" w:lineRule="atLeast"/>
              <w:rPr>
                <w:rFonts w:ascii="宋体" w:hAnsi="宋体"/>
                <w:szCs w:val="21"/>
              </w:rPr>
            </w:pPr>
            <w:r>
              <w:rPr>
                <w:rFonts w:hint="eastAsia" w:ascii="宋体" w:hAnsi="宋体"/>
                <w:szCs w:val="21"/>
              </w:rPr>
              <w:t>供应商针对采购人全球招商工作需求，拥有多语种推广能力。每增加一种语种推广能力，得2分。最高得10分。</w:t>
            </w:r>
          </w:p>
        </w:tc>
        <w:tc>
          <w:tcPr>
            <w:tcW w:w="1070" w:type="dxa"/>
            <w:vAlign w:val="center"/>
          </w:tcPr>
          <w:p>
            <w:pPr>
              <w:spacing w:line="240" w:lineRule="atLeast"/>
              <w:rPr>
                <w:rFonts w:ascii="宋体" w:hAnsi="宋体"/>
                <w:szCs w:val="21"/>
              </w:rPr>
            </w:pPr>
            <w:r>
              <w:rPr>
                <w:rFonts w:hint="eastAsia" w:ascii="宋体" w:hAnsi="宋体"/>
                <w:szCs w:val="21"/>
              </w:rPr>
              <w:t>须提供证明材料复印件加盖公章。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Merge w:val="restart"/>
            <w:vAlign w:val="center"/>
          </w:tcPr>
          <w:p>
            <w:pPr>
              <w:spacing w:line="240" w:lineRule="atLeast"/>
              <w:jc w:val="center"/>
              <w:rPr>
                <w:rFonts w:ascii="宋体" w:hAnsi="宋体"/>
                <w:szCs w:val="21"/>
              </w:rPr>
            </w:pPr>
            <w:r>
              <w:rPr>
                <w:rFonts w:ascii="宋体" w:hAnsi="宋体"/>
                <w:szCs w:val="21"/>
              </w:rPr>
              <w:t>人员</w:t>
            </w:r>
            <w:r>
              <w:rPr>
                <w:rFonts w:hint="eastAsia" w:ascii="宋体" w:hAnsi="宋体"/>
                <w:szCs w:val="21"/>
              </w:rPr>
              <w:t>配置</w:t>
            </w:r>
          </w:p>
          <w:p>
            <w:pPr>
              <w:spacing w:line="240" w:lineRule="atLeast"/>
              <w:jc w:val="center"/>
              <w:rPr>
                <w:rFonts w:ascii="宋体" w:hAnsi="宋体"/>
                <w:szCs w:val="21"/>
              </w:rPr>
            </w:pPr>
            <w:r>
              <w:rPr>
                <w:rFonts w:ascii="宋体" w:hAnsi="宋体"/>
                <w:szCs w:val="21"/>
              </w:rPr>
              <w:t>（20</w:t>
            </w:r>
            <w:r>
              <w:rPr>
                <w:rFonts w:hint="eastAsia" w:ascii="宋体" w:hAnsi="宋体"/>
                <w:szCs w:val="21"/>
              </w:rPr>
              <w:t>分</w:t>
            </w:r>
            <w:r>
              <w:rPr>
                <w:rFonts w:ascii="宋体" w:hAnsi="宋体"/>
                <w:szCs w:val="21"/>
              </w:rPr>
              <w:t>）</w:t>
            </w:r>
          </w:p>
        </w:tc>
        <w:tc>
          <w:tcPr>
            <w:tcW w:w="5439" w:type="dxa"/>
            <w:vAlign w:val="center"/>
          </w:tcPr>
          <w:p>
            <w:pPr>
              <w:spacing w:line="240" w:lineRule="atLeast"/>
              <w:rPr>
                <w:rFonts w:ascii="宋体" w:hAnsi="宋体"/>
                <w:szCs w:val="21"/>
              </w:rPr>
            </w:pPr>
            <w:r>
              <w:rPr>
                <w:rFonts w:hint="eastAsia" w:ascii="宋体" w:hAnsi="宋体"/>
                <w:szCs w:val="21"/>
              </w:rPr>
              <w:t>1.提供人员配置方案，分工明确合理，优得5分，良得3分，差得1分，未提供得0分。。</w:t>
            </w:r>
          </w:p>
        </w:tc>
        <w:tc>
          <w:tcPr>
            <w:tcW w:w="1070" w:type="dxa"/>
            <w:vMerge w:val="restart"/>
            <w:vAlign w:val="center"/>
          </w:tcPr>
          <w:p>
            <w:pPr>
              <w:spacing w:line="240" w:lineRule="atLeast"/>
              <w:rPr>
                <w:rFonts w:ascii="宋体" w:hAnsi="宋体"/>
                <w:szCs w:val="21"/>
              </w:rPr>
            </w:pPr>
            <w:r>
              <w:rPr>
                <w:rFonts w:hint="eastAsia" w:ascii="宋体" w:hAnsi="宋体"/>
                <w:szCs w:val="21"/>
              </w:rPr>
              <w:t>提供拟派人员名单、职务、相关证书证明材料加盖公章。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jc w:val="center"/>
              <w:rPr>
                <w:rFonts w:ascii="宋体" w:hAnsi="宋体"/>
                <w:szCs w:val="21"/>
              </w:rPr>
            </w:pPr>
          </w:p>
        </w:tc>
        <w:tc>
          <w:tcPr>
            <w:tcW w:w="5439" w:type="dxa"/>
            <w:vAlign w:val="center"/>
          </w:tcPr>
          <w:p>
            <w:pPr>
              <w:spacing w:line="240" w:lineRule="atLeas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提供运营日常工作流程，制度清晰完善，优得5分，良得3分，差得1分，未提供得0分</w:t>
            </w:r>
          </w:p>
        </w:tc>
        <w:tc>
          <w:tcPr>
            <w:tcW w:w="1070" w:type="dxa"/>
            <w:vMerge w:val="continue"/>
            <w:vAlign w:val="center"/>
          </w:tcPr>
          <w:p>
            <w:pPr>
              <w:spacing w:line="240" w:lineRule="atLeast"/>
              <w:ind w:left="-38"/>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jc w:val="center"/>
              <w:rPr>
                <w:rFonts w:ascii="宋体" w:hAnsi="宋体"/>
                <w:szCs w:val="21"/>
              </w:rPr>
            </w:pPr>
          </w:p>
        </w:tc>
        <w:tc>
          <w:tcPr>
            <w:tcW w:w="5439" w:type="dxa"/>
            <w:vAlign w:val="center"/>
          </w:tcPr>
          <w:p>
            <w:pPr>
              <w:spacing w:line="240" w:lineRule="atLeast"/>
              <w:rPr>
                <w:rFonts w:ascii="宋体" w:hAnsi="宋体"/>
                <w:szCs w:val="21"/>
              </w:rPr>
            </w:pPr>
            <w:r>
              <w:rPr>
                <w:rFonts w:hint="eastAsia" w:ascii="宋体" w:hAnsi="宋体"/>
                <w:szCs w:val="21"/>
              </w:rPr>
              <w:t>3.</w:t>
            </w:r>
            <w:r>
              <w:rPr>
                <w:rFonts w:ascii="宋体" w:hAnsi="宋体"/>
                <w:szCs w:val="21"/>
              </w:rPr>
              <w:t>项</w:t>
            </w:r>
            <w:r>
              <w:rPr>
                <w:rFonts w:hint="eastAsia" w:ascii="宋体" w:hAnsi="宋体"/>
                <w:szCs w:val="21"/>
              </w:rPr>
              <w:t>目人员具有记者证或互联网新闻信息采编培训合格证</w:t>
            </w:r>
            <w:r>
              <w:rPr>
                <w:rFonts w:ascii="宋体" w:hAnsi="宋体"/>
                <w:szCs w:val="21"/>
              </w:rPr>
              <w:t>或新闻采编人员资格培训合格证</w:t>
            </w:r>
            <w:r>
              <w:rPr>
                <w:rFonts w:hint="eastAsia" w:ascii="宋体" w:hAnsi="宋体"/>
                <w:szCs w:val="21"/>
              </w:rPr>
              <w:t>，提供1个得1分，最高得5分，未提供得0分。</w:t>
            </w:r>
          </w:p>
        </w:tc>
        <w:tc>
          <w:tcPr>
            <w:tcW w:w="1070" w:type="dxa"/>
            <w:vMerge w:val="continue"/>
            <w:vAlign w:val="center"/>
          </w:tcPr>
          <w:p>
            <w:pPr>
              <w:spacing w:line="240" w:lineRule="atLeast"/>
              <w:ind w:left="-38"/>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jc w:val="center"/>
              <w:rPr>
                <w:rFonts w:ascii="宋体" w:hAnsi="宋体"/>
                <w:szCs w:val="21"/>
              </w:rPr>
            </w:pPr>
          </w:p>
        </w:tc>
        <w:tc>
          <w:tcPr>
            <w:tcW w:w="5439" w:type="dxa"/>
          </w:tcPr>
          <w:p>
            <w:pPr>
              <w:spacing w:line="240" w:lineRule="atLeast"/>
              <w:rPr>
                <w:rFonts w:ascii="宋体" w:hAnsi="宋体"/>
                <w:szCs w:val="21"/>
              </w:rPr>
            </w:pPr>
            <w:r>
              <w:rPr>
                <w:rFonts w:ascii="宋体" w:hAnsi="宋体"/>
                <w:szCs w:val="21"/>
              </w:rPr>
              <w:t>4</w:t>
            </w:r>
            <w:r>
              <w:rPr>
                <w:rFonts w:hint="eastAsia" w:ascii="宋体" w:hAnsi="宋体"/>
                <w:szCs w:val="21"/>
              </w:rPr>
              <w:t>.供应商承诺为本项目配备的服务团队不少于5人的，驻场人员不少于1人，兼职到场人员不少于1人。满足得5分，未提供得0分。</w:t>
            </w:r>
          </w:p>
        </w:tc>
        <w:tc>
          <w:tcPr>
            <w:tcW w:w="1070" w:type="dxa"/>
            <w:vAlign w:val="center"/>
          </w:tcPr>
          <w:p>
            <w:pPr>
              <w:spacing w:line="240" w:lineRule="atLeast"/>
              <w:ind w:left="-38"/>
              <w:jc w:val="left"/>
              <w:rPr>
                <w:rFonts w:ascii="宋体" w:hAnsi="宋体"/>
                <w:szCs w:val="21"/>
              </w:rPr>
            </w:pPr>
            <w:r>
              <w:rPr>
                <w:rFonts w:hint="eastAsia" w:ascii="宋体" w:hAnsi="宋体"/>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Merge w:val="continue"/>
            <w:vAlign w:val="center"/>
          </w:tcPr>
          <w:p>
            <w:pPr>
              <w:spacing w:line="240" w:lineRule="atLeast"/>
              <w:ind w:firstLine="28"/>
              <w:jc w:val="center"/>
              <w:rPr>
                <w:rFonts w:ascii="宋体" w:hAnsi="宋体"/>
                <w:szCs w:val="21"/>
              </w:rPr>
            </w:pPr>
          </w:p>
        </w:tc>
        <w:tc>
          <w:tcPr>
            <w:tcW w:w="1276" w:type="dxa"/>
            <w:vMerge w:val="continue"/>
            <w:vAlign w:val="center"/>
          </w:tcPr>
          <w:p>
            <w:pPr>
              <w:spacing w:line="240" w:lineRule="atLeast"/>
              <w:ind w:firstLine="28"/>
              <w:jc w:val="center"/>
              <w:rPr>
                <w:rFonts w:ascii="宋体" w:hAnsi="宋体"/>
                <w:szCs w:val="21"/>
              </w:rPr>
            </w:pPr>
          </w:p>
        </w:tc>
        <w:tc>
          <w:tcPr>
            <w:tcW w:w="1276" w:type="dxa"/>
            <w:tcBorders>
              <w:top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项目经验</w:t>
            </w:r>
          </w:p>
          <w:p>
            <w:pPr>
              <w:spacing w:line="240" w:lineRule="atLeast"/>
              <w:rPr>
                <w:rFonts w:ascii="宋体" w:hAnsi="宋体"/>
                <w:szCs w:val="21"/>
              </w:rPr>
            </w:pPr>
            <w:r>
              <w:rPr>
                <w:rFonts w:hint="eastAsia" w:ascii="宋体" w:hAnsi="宋体"/>
                <w:szCs w:val="21"/>
              </w:rPr>
              <w:t>（</w:t>
            </w:r>
            <w:r>
              <w:rPr>
                <w:rFonts w:hint="eastAsia" w:ascii="宋体" w:hAnsi="宋体"/>
                <w:szCs w:val="21"/>
                <w:lang w:val="en"/>
              </w:rPr>
              <w:t>5</w:t>
            </w:r>
            <w:r>
              <w:rPr>
                <w:rFonts w:hint="eastAsia" w:ascii="宋体" w:hAnsi="宋体"/>
                <w:szCs w:val="21"/>
              </w:rPr>
              <w:t>分）</w:t>
            </w:r>
          </w:p>
        </w:tc>
        <w:tc>
          <w:tcPr>
            <w:tcW w:w="543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供应商承担过国家级或省级新媒体运营项目，提供一个国家级新媒体运营项目得5分，提供一个省级运营项目得1分。最高得5分。</w:t>
            </w:r>
          </w:p>
        </w:tc>
        <w:tc>
          <w:tcPr>
            <w:tcW w:w="1070" w:type="dxa"/>
            <w:tcBorders>
              <w:top w:val="single" w:color="auto" w:sz="4" w:space="0"/>
              <w:left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须提供有效合同复印件加盖公章。</w:t>
            </w:r>
          </w:p>
        </w:tc>
      </w:tr>
    </w:tbl>
    <w:p>
      <w:pPr>
        <w:pStyle w:val="4"/>
        <w:spacing w:line="480" w:lineRule="exact"/>
        <w:ind w:firstLine="480" w:firstLineChars="200"/>
        <w:rPr>
          <w:rFonts w:ascii="微软雅黑" w:hAnsi="微软雅黑" w:eastAsia="微软雅黑"/>
          <w:b/>
          <w:sz w:val="24"/>
        </w:rPr>
      </w:pPr>
      <w:bookmarkStart w:id="66" w:name="_Toc11654"/>
      <w:bookmarkStart w:id="67" w:name="_Toc9921"/>
      <w:r>
        <w:rPr>
          <w:rFonts w:ascii="微软雅黑" w:hAnsi="微软雅黑" w:eastAsia="微软雅黑"/>
          <w:b/>
          <w:sz w:val="24"/>
        </w:rPr>
        <w:t>三、无效响应</w:t>
      </w:r>
      <w:bookmarkEnd w:id="64"/>
      <w:bookmarkEnd w:id="66"/>
      <w:bookmarkEnd w:id="67"/>
    </w:p>
    <w:p>
      <w:pPr>
        <w:spacing w:line="440" w:lineRule="exact"/>
        <w:ind w:firstLine="420" w:firstLineChars="200"/>
        <w:rPr>
          <w:rFonts w:ascii="微软雅黑" w:hAnsi="微软雅黑" w:eastAsia="微软雅黑"/>
          <w:szCs w:val="21"/>
        </w:rPr>
      </w:pPr>
      <w:r>
        <w:rPr>
          <w:rFonts w:ascii="微软雅黑" w:hAnsi="微软雅黑" w:eastAsia="微软雅黑"/>
          <w:szCs w:val="21"/>
        </w:rPr>
        <w:t>供应商发生以下条款情况之一者，视为无效响应，其响应文件将被拒绝：</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（一）供应商不符合规定的基本资格条件或特定资格条件的；</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（二）供应商所提交的响应文件不按要求签字、盖章；</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（三）单位负责人为同一人或者存在直接控股、管理关系的不同供应商，参加同一合同项下的政府采购活动的；</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（四）供应商响应文件内容有与国家现行法律法规相违背的内容，或附有采购人无法接受的条件。</w:t>
      </w:r>
    </w:p>
    <w:p>
      <w:pPr>
        <w:pStyle w:val="4"/>
        <w:spacing w:line="480" w:lineRule="exact"/>
        <w:ind w:firstLine="480" w:firstLineChars="200"/>
        <w:rPr>
          <w:rFonts w:ascii="微软雅黑" w:hAnsi="微软雅黑" w:eastAsia="微软雅黑"/>
          <w:b/>
          <w:sz w:val="24"/>
        </w:rPr>
      </w:pPr>
      <w:bookmarkStart w:id="68" w:name="_Toc6689"/>
      <w:bookmarkStart w:id="69" w:name="_Toc22103"/>
      <w:r>
        <w:rPr>
          <w:rFonts w:ascii="微软雅黑" w:hAnsi="微软雅黑" w:eastAsia="微软雅黑"/>
          <w:b/>
          <w:sz w:val="24"/>
        </w:rPr>
        <w:t>四、采购终止</w:t>
      </w:r>
      <w:bookmarkEnd w:id="68"/>
      <w:bookmarkEnd w:id="69"/>
    </w:p>
    <w:p>
      <w:pPr>
        <w:spacing w:line="440" w:lineRule="exact"/>
        <w:ind w:firstLine="420" w:firstLineChars="200"/>
        <w:rPr>
          <w:rFonts w:ascii="微软雅黑" w:hAnsi="微软雅黑" w:eastAsia="微软雅黑"/>
          <w:szCs w:val="21"/>
        </w:rPr>
      </w:pPr>
      <w:r>
        <w:rPr>
          <w:rFonts w:ascii="微软雅黑" w:hAnsi="微软雅黑" w:eastAsia="微软雅黑"/>
          <w:szCs w:val="21"/>
        </w:rPr>
        <w:t>出现下列情形之一的，采购人应当终止</w:t>
      </w:r>
      <w:r>
        <w:rPr>
          <w:rFonts w:hint="eastAsia" w:ascii="微软雅黑" w:hAnsi="微软雅黑" w:eastAsia="微软雅黑"/>
          <w:szCs w:val="21"/>
        </w:rPr>
        <w:t>评比</w:t>
      </w:r>
      <w:r>
        <w:rPr>
          <w:rFonts w:ascii="微软雅黑" w:hAnsi="微软雅黑" w:eastAsia="微软雅黑"/>
          <w:szCs w:val="21"/>
        </w:rPr>
        <w:t>活动，发布项目终止通知书并说明原因，重新开展采购活动：</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（一）因情况变化，不再符合规定的</w:t>
      </w:r>
      <w:r>
        <w:rPr>
          <w:rFonts w:hint="eastAsia" w:ascii="微软雅黑" w:hAnsi="微软雅黑" w:eastAsia="微软雅黑"/>
          <w:szCs w:val="21"/>
        </w:rPr>
        <w:t>评比</w:t>
      </w:r>
      <w:r>
        <w:rPr>
          <w:rFonts w:ascii="微软雅黑" w:hAnsi="微软雅黑" w:eastAsia="微软雅黑"/>
          <w:szCs w:val="21"/>
        </w:rPr>
        <w:t>方式；</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（二）出现影响</w:t>
      </w:r>
      <w:r>
        <w:rPr>
          <w:rFonts w:hint="eastAsia" w:ascii="微软雅黑" w:hAnsi="微软雅黑" w:eastAsia="微软雅黑"/>
          <w:szCs w:val="21"/>
        </w:rPr>
        <w:t>评比</w:t>
      </w:r>
      <w:r>
        <w:rPr>
          <w:rFonts w:ascii="微软雅黑" w:hAnsi="微软雅黑" w:eastAsia="微软雅黑"/>
          <w:szCs w:val="21"/>
        </w:rPr>
        <w:t>公正的违法、违规行为的；</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（三）在</w:t>
      </w:r>
      <w:r>
        <w:rPr>
          <w:rFonts w:hint="eastAsia" w:ascii="微软雅黑" w:hAnsi="微软雅黑" w:eastAsia="微软雅黑"/>
          <w:szCs w:val="21"/>
        </w:rPr>
        <w:t>评比</w:t>
      </w:r>
      <w:r>
        <w:rPr>
          <w:rFonts w:ascii="微软雅黑" w:hAnsi="微软雅黑" w:eastAsia="微软雅黑"/>
          <w:szCs w:val="21"/>
        </w:rPr>
        <w:t>过程中符合要求的供应商不足3家的。</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（四）因重大变故，采购任务取消的。</w:t>
      </w:r>
    </w:p>
    <w:p>
      <w:pPr>
        <w:spacing w:line="580" w:lineRule="exact"/>
        <w:ind w:firstLine="560" w:firstLineChars="200"/>
        <w:rPr>
          <w:sz w:val="28"/>
          <w:szCs w:val="28"/>
        </w:rPr>
        <w:sectPr>
          <w:footerReference r:id="rId9" w:type="default"/>
          <w:pgSz w:w="11907" w:h="16840"/>
          <w:pgMar w:top="1134" w:right="1191" w:bottom="1134" w:left="1304" w:header="964" w:footer="992" w:gutter="0"/>
          <w:pgNumType w:start="1"/>
          <w:cols w:space="720" w:num="1"/>
          <w:docGrid w:linePitch="312" w:charSpace="0"/>
        </w:sectPr>
      </w:pPr>
    </w:p>
    <w:p>
      <w:pPr>
        <w:pStyle w:val="4"/>
        <w:adjustRightInd/>
        <w:snapToGrid/>
        <w:spacing w:before="260" w:after="260"/>
        <w:jc w:val="center"/>
        <w:rPr>
          <w:rFonts w:ascii="微软雅黑" w:hAnsi="微软雅黑" w:eastAsia="微软雅黑"/>
          <w:b/>
          <w:sz w:val="36"/>
          <w:szCs w:val="36"/>
        </w:rPr>
      </w:pPr>
      <w:bookmarkStart w:id="70" w:name="_Toc26941"/>
      <w:bookmarkStart w:id="71" w:name="_Toc24647"/>
      <w:r>
        <w:rPr>
          <w:rFonts w:ascii="微软雅黑" w:hAnsi="微软雅黑" w:eastAsia="微软雅黑"/>
          <w:b/>
          <w:sz w:val="36"/>
          <w:szCs w:val="36"/>
        </w:rPr>
        <w:t>第四</w:t>
      </w:r>
      <w:r>
        <w:rPr>
          <w:rFonts w:hint="eastAsia" w:ascii="微软雅黑" w:hAnsi="微软雅黑" w:eastAsia="微软雅黑"/>
          <w:b/>
          <w:sz w:val="36"/>
          <w:szCs w:val="36"/>
        </w:rPr>
        <w:t>篇</w:t>
      </w:r>
      <w:r>
        <w:rPr>
          <w:rFonts w:ascii="微软雅黑" w:hAnsi="微软雅黑" w:eastAsia="微软雅黑"/>
          <w:b/>
          <w:sz w:val="36"/>
          <w:szCs w:val="36"/>
        </w:rPr>
        <w:t xml:space="preserve">  供应商须知</w:t>
      </w:r>
      <w:bookmarkEnd w:id="70"/>
      <w:bookmarkEnd w:id="71"/>
    </w:p>
    <w:p>
      <w:pPr>
        <w:spacing w:line="580" w:lineRule="exact"/>
        <w:ind w:firstLine="2670" w:firstLineChars="950"/>
        <w:rPr>
          <w:b/>
          <w:bCs/>
          <w:sz w:val="28"/>
          <w:szCs w:val="28"/>
        </w:rPr>
      </w:pPr>
    </w:p>
    <w:p>
      <w:pPr>
        <w:pStyle w:val="4"/>
        <w:spacing w:line="480" w:lineRule="exact"/>
        <w:ind w:firstLine="480" w:firstLineChars="200"/>
        <w:rPr>
          <w:rFonts w:ascii="微软雅黑" w:hAnsi="微软雅黑" w:eastAsia="微软雅黑"/>
          <w:b/>
          <w:sz w:val="24"/>
        </w:rPr>
      </w:pPr>
      <w:bookmarkStart w:id="72" w:name="_Toc23393"/>
      <w:bookmarkStart w:id="73" w:name="_Toc7036"/>
      <w:r>
        <w:rPr>
          <w:rFonts w:ascii="微软雅黑" w:hAnsi="微软雅黑" w:eastAsia="微软雅黑"/>
          <w:b/>
          <w:sz w:val="24"/>
        </w:rPr>
        <w:t>一、响应文件</w:t>
      </w:r>
      <w:bookmarkEnd w:id="72"/>
      <w:bookmarkEnd w:id="73"/>
    </w:p>
    <w:p>
      <w:pPr>
        <w:spacing w:line="440" w:lineRule="exact"/>
        <w:ind w:firstLine="420" w:firstLineChars="200"/>
        <w:rPr>
          <w:rFonts w:ascii="微软雅黑" w:hAnsi="微软雅黑" w:eastAsia="微软雅黑"/>
          <w:szCs w:val="21"/>
        </w:rPr>
      </w:pPr>
      <w:r>
        <w:rPr>
          <w:rFonts w:ascii="微软雅黑" w:hAnsi="微软雅黑" w:eastAsia="微软雅黑"/>
          <w:szCs w:val="21"/>
        </w:rPr>
        <w:t>1．供应商应当按照</w:t>
      </w:r>
      <w:r>
        <w:rPr>
          <w:rFonts w:hint="eastAsia" w:ascii="微软雅黑" w:hAnsi="微软雅黑" w:eastAsia="微软雅黑"/>
          <w:szCs w:val="21"/>
        </w:rPr>
        <w:t>评比</w:t>
      </w:r>
      <w:r>
        <w:rPr>
          <w:rFonts w:ascii="微软雅黑" w:hAnsi="微软雅黑" w:eastAsia="微软雅黑"/>
          <w:szCs w:val="21"/>
        </w:rPr>
        <w:t>文件的要求编制响应文件，并对</w:t>
      </w:r>
      <w:r>
        <w:rPr>
          <w:rFonts w:hint="eastAsia" w:ascii="微软雅黑" w:hAnsi="微软雅黑" w:eastAsia="微软雅黑"/>
          <w:szCs w:val="21"/>
        </w:rPr>
        <w:t>评比</w:t>
      </w:r>
      <w:r>
        <w:rPr>
          <w:rFonts w:ascii="微软雅黑" w:hAnsi="微软雅黑" w:eastAsia="微软雅黑"/>
          <w:szCs w:val="21"/>
        </w:rPr>
        <w:t>文件提出的要求和条件作出实质性响应。</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2．响应文件由第五篇“响应文件编制要求”规定的部分和供应商所作的一切有效补充、修改和承诺等文件组成，供应商应按照第五篇“响应文件编制要求”规定的目录顺序组织编写和装订，也可在基本格式基础上对表格进行扩展，未规定格式的由供应商自定格式。</w:t>
      </w:r>
    </w:p>
    <w:p>
      <w:pPr>
        <w:pStyle w:val="4"/>
        <w:spacing w:line="480" w:lineRule="exact"/>
        <w:ind w:firstLine="480" w:firstLineChars="200"/>
        <w:rPr>
          <w:rFonts w:ascii="微软雅黑" w:hAnsi="微软雅黑" w:eastAsia="微软雅黑"/>
          <w:b/>
          <w:sz w:val="24"/>
        </w:rPr>
      </w:pPr>
      <w:bookmarkStart w:id="74" w:name="_Toc27711"/>
      <w:bookmarkStart w:id="75" w:name="_Toc5372"/>
      <w:r>
        <w:rPr>
          <w:rFonts w:ascii="微软雅黑" w:hAnsi="微软雅黑" w:eastAsia="微软雅黑"/>
          <w:b/>
          <w:sz w:val="24"/>
        </w:rPr>
        <w:t>二、</w:t>
      </w:r>
      <w:r>
        <w:rPr>
          <w:rFonts w:hint="eastAsia" w:ascii="微软雅黑" w:hAnsi="微软雅黑" w:eastAsia="微软雅黑"/>
          <w:b/>
          <w:sz w:val="24"/>
        </w:rPr>
        <w:t>评比</w:t>
      </w:r>
      <w:r>
        <w:rPr>
          <w:rFonts w:ascii="微软雅黑" w:hAnsi="微软雅黑" w:eastAsia="微软雅黑"/>
          <w:b/>
          <w:sz w:val="24"/>
        </w:rPr>
        <w:t>有效期</w:t>
      </w:r>
      <w:bookmarkEnd w:id="74"/>
      <w:bookmarkEnd w:id="75"/>
    </w:p>
    <w:p>
      <w:pPr>
        <w:spacing w:line="440" w:lineRule="exact"/>
        <w:ind w:firstLine="420" w:firstLineChars="200"/>
        <w:rPr>
          <w:rFonts w:ascii="微软雅黑" w:hAnsi="微软雅黑" w:eastAsia="微软雅黑"/>
          <w:szCs w:val="21"/>
        </w:rPr>
      </w:pPr>
      <w:r>
        <w:rPr>
          <w:rFonts w:ascii="微软雅黑" w:hAnsi="微软雅黑" w:eastAsia="微软雅黑"/>
          <w:szCs w:val="21"/>
        </w:rPr>
        <w:t>响应文件及有关承诺文件有效期为提交响应文件截止时间起90天。</w:t>
      </w:r>
    </w:p>
    <w:p>
      <w:pPr>
        <w:pStyle w:val="4"/>
        <w:spacing w:line="480" w:lineRule="exact"/>
        <w:ind w:firstLine="480" w:firstLineChars="200"/>
        <w:rPr>
          <w:b/>
          <w:bCs/>
          <w:szCs w:val="28"/>
        </w:rPr>
      </w:pPr>
      <w:bookmarkStart w:id="76" w:name="_Toc2687"/>
      <w:bookmarkStart w:id="77" w:name="_Toc27851"/>
      <w:r>
        <w:rPr>
          <w:rFonts w:ascii="微软雅黑" w:hAnsi="微软雅黑" w:eastAsia="微软雅黑"/>
          <w:b/>
          <w:sz w:val="24"/>
        </w:rPr>
        <w:t>三、提交响应文件的份数和签署</w:t>
      </w:r>
      <w:bookmarkEnd w:id="76"/>
      <w:bookmarkEnd w:id="77"/>
    </w:p>
    <w:p>
      <w:pPr>
        <w:spacing w:line="440" w:lineRule="exact"/>
        <w:ind w:firstLine="420" w:firstLineChars="200"/>
        <w:rPr>
          <w:rFonts w:ascii="微软雅黑" w:hAnsi="微软雅黑" w:eastAsia="微软雅黑"/>
          <w:szCs w:val="21"/>
        </w:rPr>
      </w:pPr>
      <w:r>
        <w:rPr>
          <w:rFonts w:ascii="微软雅黑" w:hAnsi="微软雅黑" w:eastAsia="微软雅黑"/>
          <w:szCs w:val="21"/>
        </w:rPr>
        <w:t>1. 响应文件一式两份，其中正本一份，副本一份；副本可为正本的复印件，应与正本一致，如出现不一致情况以正本为准。</w:t>
      </w:r>
    </w:p>
    <w:p>
      <w:pPr>
        <w:spacing w:line="440" w:lineRule="exact"/>
        <w:ind w:firstLine="420" w:firstLineChars="200"/>
        <w:rPr>
          <w:rFonts w:ascii="微软雅黑" w:hAnsi="微软雅黑" w:eastAsia="微软雅黑"/>
          <w:szCs w:val="21"/>
        </w:rPr>
      </w:pPr>
      <w:r>
        <w:rPr>
          <w:rFonts w:ascii="微软雅黑" w:hAnsi="微软雅黑" w:eastAsia="微软雅黑"/>
          <w:szCs w:val="21"/>
        </w:rPr>
        <w:t>2. 在响应文件正本中，</w:t>
      </w:r>
      <w:r>
        <w:rPr>
          <w:rFonts w:hint="eastAsia" w:ascii="微软雅黑" w:hAnsi="微软雅黑" w:eastAsia="微软雅黑"/>
          <w:szCs w:val="21"/>
        </w:rPr>
        <w:t>评比</w:t>
      </w:r>
      <w:r>
        <w:rPr>
          <w:rFonts w:ascii="微软雅黑" w:hAnsi="微软雅黑" w:eastAsia="微软雅黑"/>
          <w:szCs w:val="21"/>
        </w:rPr>
        <w:t>文件第五章响应文件格式编制要求中规定签字、盖章的地方必须按其规定签字、盖章。</w:t>
      </w:r>
    </w:p>
    <w:p>
      <w:pPr>
        <w:pStyle w:val="4"/>
        <w:spacing w:line="480" w:lineRule="exact"/>
        <w:ind w:firstLine="480" w:firstLineChars="200"/>
        <w:rPr>
          <w:rFonts w:ascii="微软雅黑" w:hAnsi="微软雅黑" w:eastAsia="微软雅黑"/>
          <w:b/>
          <w:sz w:val="24"/>
        </w:rPr>
      </w:pPr>
      <w:bookmarkStart w:id="78" w:name="_Toc31086"/>
      <w:bookmarkStart w:id="79" w:name="_Toc30483"/>
      <w:r>
        <w:rPr>
          <w:rFonts w:ascii="微软雅黑" w:hAnsi="微软雅黑" w:eastAsia="微软雅黑"/>
          <w:b/>
          <w:sz w:val="24"/>
        </w:rPr>
        <w:t>四、响应文件的递交</w:t>
      </w:r>
      <w:bookmarkEnd w:id="78"/>
      <w:bookmarkEnd w:id="79"/>
    </w:p>
    <w:p>
      <w:pPr>
        <w:spacing w:line="440" w:lineRule="exact"/>
        <w:ind w:firstLine="420" w:firstLineChars="200"/>
        <w:outlineLvl w:val="1"/>
        <w:rPr>
          <w:rFonts w:ascii="微软雅黑" w:hAnsi="微软雅黑" w:eastAsia="微软雅黑"/>
          <w:szCs w:val="21"/>
        </w:rPr>
      </w:pPr>
      <w:bookmarkStart w:id="80" w:name="_Toc12428"/>
      <w:bookmarkStart w:id="81" w:name="_Toc6264"/>
      <w:r>
        <w:rPr>
          <w:rFonts w:ascii="微软雅黑" w:hAnsi="微软雅黑" w:eastAsia="微软雅黑"/>
          <w:szCs w:val="21"/>
        </w:rPr>
        <w:t>1. 响应文件的密封与标记</w:t>
      </w:r>
      <w:bookmarkEnd w:id="80"/>
      <w:bookmarkEnd w:id="81"/>
    </w:p>
    <w:p>
      <w:pPr>
        <w:spacing w:line="440" w:lineRule="exact"/>
        <w:ind w:firstLine="420" w:firstLineChars="200"/>
        <w:rPr>
          <w:rFonts w:ascii="微软雅黑" w:hAnsi="微软雅黑" w:eastAsia="微软雅黑"/>
          <w:szCs w:val="21"/>
        </w:rPr>
      </w:pPr>
      <w:r>
        <w:rPr>
          <w:rFonts w:ascii="微软雅黑" w:hAnsi="微软雅黑" w:eastAsia="微软雅黑"/>
          <w:szCs w:val="21"/>
        </w:rPr>
        <w:t>响应文件的正本、副本均应密封送达评选地点。应在封套上注明项目名称、供应商名称。若正本、副本分别进行密封的，还应在封套上注明“正本”、“副本”字样。封套的封口处应加盖供应商公章或由法定代表人授权代表签字。</w:t>
      </w:r>
    </w:p>
    <w:p>
      <w:pPr>
        <w:spacing w:line="440" w:lineRule="exact"/>
        <w:ind w:firstLine="420" w:firstLineChars="200"/>
        <w:rPr>
          <w:rFonts w:ascii="微软雅黑" w:hAnsi="微软雅黑" w:eastAsia="微软雅黑"/>
          <w:szCs w:val="21"/>
        </w:rPr>
      </w:pPr>
      <w:bookmarkStart w:id="82" w:name="_Toc19656"/>
      <w:bookmarkStart w:id="83" w:name="_Toc18162"/>
      <w:r>
        <w:rPr>
          <w:rFonts w:ascii="微软雅黑" w:hAnsi="微软雅黑" w:eastAsia="微软雅黑"/>
          <w:szCs w:val="21"/>
        </w:rPr>
        <w:t>2. 响应文件递交截止时间：</w:t>
      </w:r>
      <w:r>
        <w:rPr>
          <w:rFonts w:hint="eastAsia" w:ascii="微软雅黑" w:hAnsi="微软雅黑" w:eastAsia="微软雅黑"/>
          <w:szCs w:val="21"/>
        </w:rPr>
        <w:t>2</w:t>
      </w:r>
      <w:r>
        <w:rPr>
          <w:rFonts w:ascii="微软雅黑" w:hAnsi="微软雅黑" w:eastAsia="微软雅黑"/>
          <w:szCs w:val="21"/>
        </w:rPr>
        <w:t>022</w:t>
      </w:r>
      <w:r>
        <w:rPr>
          <w:rFonts w:hint="eastAsia" w:ascii="微软雅黑" w:hAnsi="微软雅黑" w:eastAsia="微软雅黑"/>
          <w:szCs w:val="21"/>
        </w:rPr>
        <w:t>年8月17日</w:t>
      </w:r>
      <w:r>
        <w:rPr>
          <w:rFonts w:ascii="微软雅黑" w:hAnsi="微软雅黑" w:eastAsia="微软雅黑"/>
          <w:szCs w:val="21"/>
        </w:rPr>
        <w:t>18</w:t>
      </w:r>
      <w:r>
        <w:rPr>
          <w:rFonts w:hint="eastAsia" w:ascii="微软雅黑" w:hAnsi="微软雅黑" w:eastAsia="微软雅黑"/>
          <w:szCs w:val="21"/>
        </w:rPr>
        <w:t>时</w:t>
      </w:r>
      <w:r>
        <w:rPr>
          <w:rFonts w:ascii="微软雅黑" w:hAnsi="微软雅黑" w:eastAsia="微软雅黑"/>
          <w:szCs w:val="21"/>
        </w:rPr>
        <w:t>0</w:t>
      </w:r>
      <w:r>
        <w:rPr>
          <w:rFonts w:hint="eastAsia" w:ascii="微软雅黑" w:hAnsi="微软雅黑" w:eastAsia="微软雅黑"/>
          <w:szCs w:val="21"/>
        </w:rPr>
        <w:t>0分</w:t>
      </w:r>
      <w:r>
        <w:rPr>
          <w:rFonts w:ascii="微软雅黑" w:hAnsi="微软雅黑" w:eastAsia="微软雅黑"/>
          <w:szCs w:val="21"/>
        </w:rPr>
        <w:t>。</w:t>
      </w:r>
    </w:p>
    <w:p>
      <w:pPr>
        <w:spacing w:line="440" w:lineRule="exact"/>
        <w:ind w:firstLine="420" w:firstLineChars="200"/>
        <w:outlineLvl w:val="1"/>
        <w:rPr>
          <w:rFonts w:ascii="微软雅黑" w:hAnsi="微软雅黑" w:eastAsia="微软雅黑"/>
          <w:szCs w:val="21"/>
        </w:rPr>
      </w:pPr>
      <w:r>
        <w:rPr>
          <w:rFonts w:ascii="微软雅黑" w:hAnsi="微软雅黑" w:eastAsia="微软雅黑"/>
          <w:szCs w:val="21"/>
        </w:rPr>
        <w:t>3. 响应文件语言：简体中文</w:t>
      </w:r>
      <w:bookmarkEnd w:id="82"/>
      <w:bookmarkEnd w:id="83"/>
    </w:p>
    <w:p>
      <w:pPr>
        <w:pStyle w:val="4"/>
        <w:spacing w:line="480" w:lineRule="exact"/>
        <w:ind w:firstLine="480" w:firstLineChars="200"/>
        <w:rPr>
          <w:rFonts w:ascii="微软雅黑" w:hAnsi="微软雅黑" w:eastAsia="微软雅黑"/>
          <w:b/>
          <w:sz w:val="24"/>
        </w:rPr>
      </w:pPr>
      <w:bookmarkStart w:id="84" w:name="_Toc29059"/>
      <w:bookmarkStart w:id="85" w:name="_Toc42691873"/>
      <w:bookmarkStart w:id="86" w:name="_Toc428437953"/>
      <w:bookmarkStart w:id="87" w:name="_Toc14849"/>
      <w:r>
        <w:rPr>
          <w:rFonts w:ascii="微软雅黑" w:hAnsi="微软雅黑" w:eastAsia="微软雅黑"/>
          <w:b/>
          <w:sz w:val="24"/>
        </w:rPr>
        <w:t>五、中选供应商的确认和变更</w:t>
      </w:r>
      <w:bookmarkEnd w:id="84"/>
      <w:bookmarkEnd w:id="85"/>
      <w:bookmarkEnd w:id="86"/>
      <w:bookmarkEnd w:id="87"/>
    </w:p>
    <w:p>
      <w:pPr>
        <w:pStyle w:val="4"/>
        <w:spacing w:line="480" w:lineRule="exact"/>
        <w:ind w:firstLine="420" w:firstLineChars="200"/>
        <w:rPr>
          <w:rFonts w:ascii="微软雅黑" w:hAnsi="微软雅黑" w:eastAsia="微软雅黑"/>
          <w:sz w:val="21"/>
          <w:szCs w:val="21"/>
        </w:rPr>
      </w:pPr>
      <w:bookmarkStart w:id="88" w:name="_Toc4061"/>
      <w:bookmarkStart w:id="89" w:name="_Toc515"/>
      <w:bookmarkStart w:id="90" w:name="_Toc24762"/>
      <w:r>
        <w:rPr>
          <w:rFonts w:ascii="微软雅黑" w:hAnsi="微软雅黑" w:eastAsia="微软雅黑"/>
          <w:sz w:val="21"/>
          <w:szCs w:val="21"/>
        </w:rPr>
        <w:t>（一）中选供应商确定后，采购人将</w:t>
      </w:r>
      <w:r>
        <w:rPr>
          <w:rFonts w:hint="eastAsia" w:ascii="微软雅黑" w:hAnsi="微软雅黑" w:eastAsia="微软雅黑"/>
          <w:sz w:val="21"/>
          <w:szCs w:val="21"/>
        </w:rPr>
        <w:t>2</w:t>
      </w:r>
      <w:r>
        <w:rPr>
          <w:rFonts w:ascii="微软雅黑" w:hAnsi="微软雅黑" w:eastAsia="微软雅黑"/>
          <w:sz w:val="21"/>
          <w:szCs w:val="21"/>
        </w:rPr>
        <w:t>个工作日内以书面形式发出《中选通知书》。《中选通知书》一经发出即发生法律效力。</w:t>
      </w:r>
      <w:bookmarkEnd w:id="88"/>
      <w:bookmarkEnd w:id="89"/>
      <w:bookmarkEnd w:id="90"/>
    </w:p>
    <w:p>
      <w:pPr>
        <w:spacing w:line="440" w:lineRule="exact"/>
        <w:ind w:firstLine="420" w:firstLineChars="200"/>
        <w:rPr>
          <w:rFonts w:ascii="微软雅黑" w:hAnsi="微软雅黑" w:eastAsia="微软雅黑"/>
          <w:szCs w:val="21"/>
        </w:rPr>
      </w:pPr>
      <w:r>
        <w:rPr>
          <w:rFonts w:ascii="微软雅黑" w:hAnsi="微软雅黑" w:eastAsia="微软雅黑"/>
          <w:szCs w:val="21"/>
        </w:rPr>
        <w:t>（二）《中选通知书》将作为签订合同的依据。</w:t>
      </w:r>
    </w:p>
    <w:p>
      <w:pPr>
        <w:spacing w:line="580" w:lineRule="exact"/>
        <w:ind w:firstLine="2670" w:firstLineChars="950"/>
        <w:rPr>
          <w:b/>
          <w:bCs/>
          <w:sz w:val="28"/>
          <w:szCs w:val="28"/>
        </w:rPr>
      </w:pPr>
    </w:p>
    <w:p>
      <w:pPr>
        <w:spacing w:line="580" w:lineRule="exact"/>
        <w:ind w:firstLine="2670" w:firstLineChars="950"/>
        <w:rPr>
          <w:b/>
          <w:bCs/>
          <w:sz w:val="28"/>
          <w:szCs w:val="28"/>
        </w:rPr>
      </w:pPr>
    </w:p>
    <w:p>
      <w:pPr>
        <w:spacing w:line="580" w:lineRule="exact"/>
        <w:ind w:firstLine="2670" w:firstLineChars="950"/>
        <w:rPr>
          <w:b/>
          <w:bCs/>
          <w:sz w:val="28"/>
          <w:szCs w:val="28"/>
        </w:rPr>
      </w:pPr>
    </w:p>
    <w:p>
      <w:pPr>
        <w:spacing w:line="580" w:lineRule="exact"/>
        <w:ind w:firstLine="2670" w:firstLineChars="950"/>
        <w:rPr>
          <w:b/>
          <w:bCs/>
          <w:sz w:val="28"/>
          <w:szCs w:val="28"/>
        </w:rPr>
      </w:pPr>
    </w:p>
    <w:p>
      <w:pPr>
        <w:spacing w:line="580" w:lineRule="exact"/>
        <w:ind w:firstLine="2670" w:firstLineChars="950"/>
        <w:rPr>
          <w:b/>
          <w:bCs/>
          <w:sz w:val="28"/>
          <w:szCs w:val="28"/>
        </w:rPr>
      </w:pPr>
    </w:p>
    <w:p>
      <w:pPr>
        <w:spacing w:line="580" w:lineRule="exact"/>
        <w:ind w:firstLine="2670" w:firstLineChars="950"/>
        <w:rPr>
          <w:b/>
          <w:bCs/>
          <w:sz w:val="28"/>
          <w:szCs w:val="28"/>
        </w:rPr>
      </w:pPr>
    </w:p>
    <w:p>
      <w:pPr>
        <w:spacing w:line="580" w:lineRule="exact"/>
        <w:ind w:firstLine="2670" w:firstLineChars="950"/>
        <w:rPr>
          <w:b/>
          <w:bCs/>
          <w:sz w:val="28"/>
          <w:szCs w:val="28"/>
        </w:rPr>
      </w:pPr>
    </w:p>
    <w:p>
      <w:pPr>
        <w:spacing w:line="580" w:lineRule="exact"/>
        <w:ind w:firstLine="2670" w:firstLineChars="950"/>
        <w:rPr>
          <w:b/>
          <w:bCs/>
          <w:sz w:val="28"/>
          <w:szCs w:val="28"/>
        </w:rPr>
      </w:pPr>
    </w:p>
    <w:p>
      <w:pPr>
        <w:pStyle w:val="4"/>
        <w:adjustRightInd/>
        <w:snapToGrid/>
        <w:spacing w:before="260" w:after="260"/>
        <w:jc w:val="center"/>
        <w:rPr>
          <w:b/>
          <w:bCs/>
          <w:sz w:val="36"/>
          <w:szCs w:val="36"/>
        </w:rPr>
      </w:pPr>
      <w:r>
        <w:rPr>
          <w:b/>
          <w:bCs/>
          <w:szCs w:val="28"/>
        </w:rPr>
        <w:br w:type="page"/>
      </w:r>
      <w:bookmarkStart w:id="91" w:name="_Toc15007"/>
      <w:bookmarkStart w:id="92" w:name="_Toc14430"/>
      <w:r>
        <w:rPr>
          <w:rFonts w:ascii="微软雅黑" w:hAnsi="微软雅黑" w:eastAsia="微软雅黑"/>
          <w:b/>
          <w:sz w:val="36"/>
          <w:szCs w:val="36"/>
        </w:rPr>
        <w:t>第五</w:t>
      </w:r>
      <w:r>
        <w:rPr>
          <w:rFonts w:hint="eastAsia" w:ascii="微软雅黑" w:hAnsi="微软雅黑" w:eastAsia="微软雅黑"/>
          <w:b/>
          <w:sz w:val="36"/>
          <w:szCs w:val="36"/>
        </w:rPr>
        <w:t>篇</w:t>
      </w:r>
      <w:r>
        <w:rPr>
          <w:rFonts w:ascii="微软雅黑" w:hAnsi="微软雅黑" w:eastAsia="微软雅黑"/>
          <w:b/>
          <w:sz w:val="36"/>
          <w:szCs w:val="36"/>
        </w:rPr>
        <w:t xml:space="preserve"> 响应文件格式</w:t>
      </w:r>
      <w:bookmarkEnd w:id="91"/>
      <w:bookmarkEnd w:id="92"/>
    </w:p>
    <w:p>
      <w:pPr>
        <w:adjustRightInd w:val="0"/>
        <w:snapToGrid w:val="0"/>
        <w:spacing w:line="480" w:lineRule="exact"/>
        <w:ind w:firstLine="420" w:firstLineChars="200"/>
        <w:rPr>
          <w:rFonts w:ascii="微软雅黑" w:hAnsi="微软雅黑" w:eastAsia="微软雅黑"/>
          <w:szCs w:val="21"/>
        </w:rPr>
      </w:pPr>
      <w:bookmarkStart w:id="93" w:name="_Toc6370"/>
      <w:bookmarkStart w:id="94" w:name="_Toc32387"/>
      <w:r>
        <w:rPr>
          <w:rFonts w:hint="eastAsia" w:ascii="微软雅黑" w:hAnsi="微软雅黑" w:eastAsia="微软雅黑"/>
          <w:szCs w:val="21"/>
        </w:rPr>
        <w:t>1.投标人简介材料；</w:t>
      </w:r>
      <w:bookmarkEnd w:id="93"/>
      <w:bookmarkEnd w:id="94"/>
    </w:p>
    <w:p>
      <w:pPr>
        <w:adjustRightInd w:val="0"/>
        <w:snapToGrid w:val="0"/>
        <w:spacing w:line="480" w:lineRule="exact"/>
        <w:ind w:firstLine="420" w:firstLineChars="200"/>
        <w:rPr>
          <w:rFonts w:ascii="微软雅黑" w:hAnsi="微软雅黑" w:eastAsia="微软雅黑"/>
          <w:szCs w:val="21"/>
        </w:rPr>
      </w:pPr>
      <w:bookmarkStart w:id="95" w:name="_Toc25870"/>
      <w:bookmarkStart w:id="96" w:name="_Toc19988"/>
      <w:r>
        <w:rPr>
          <w:rFonts w:hint="eastAsia" w:ascii="微软雅黑" w:hAnsi="微软雅黑" w:eastAsia="微软雅黑"/>
          <w:szCs w:val="21"/>
        </w:rPr>
        <w:t>2.投标项目及价格；</w:t>
      </w:r>
      <w:bookmarkEnd w:id="95"/>
      <w:bookmarkEnd w:id="96"/>
    </w:p>
    <w:p>
      <w:pPr>
        <w:adjustRightInd w:val="0"/>
        <w:snapToGrid w:val="0"/>
        <w:spacing w:line="480" w:lineRule="exact"/>
        <w:ind w:firstLine="420" w:firstLineChars="200"/>
        <w:rPr>
          <w:rFonts w:ascii="微软雅黑" w:hAnsi="微软雅黑" w:eastAsia="微软雅黑"/>
          <w:szCs w:val="21"/>
        </w:rPr>
      </w:pPr>
      <w:bookmarkStart w:id="97" w:name="_Toc7637"/>
      <w:bookmarkStart w:id="98" w:name="_Toc1023"/>
      <w:r>
        <w:rPr>
          <w:rFonts w:hint="eastAsia" w:ascii="微软雅黑" w:hAnsi="微软雅黑" w:eastAsia="微软雅黑"/>
          <w:szCs w:val="21"/>
        </w:rPr>
        <w:t>3类似活动相关证明及案例图；</w:t>
      </w:r>
      <w:bookmarkEnd w:id="97"/>
      <w:bookmarkEnd w:id="98"/>
    </w:p>
    <w:p>
      <w:pPr>
        <w:adjustRightInd w:val="0"/>
        <w:snapToGrid w:val="0"/>
        <w:spacing w:line="480" w:lineRule="exact"/>
        <w:ind w:firstLine="420" w:firstLineChars="200"/>
        <w:rPr>
          <w:rFonts w:ascii="微软雅黑" w:hAnsi="微软雅黑" w:eastAsia="微软雅黑"/>
          <w:szCs w:val="21"/>
        </w:rPr>
      </w:pPr>
      <w:bookmarkStart w:id="99" w:name="_Toc17892"/>
      <w:bookmarkStart w:id="100" w:name="_Toc31229"/>
      <w:r>
        <w:rPr>
          <w:rFonts w:hint="eastAsia" w:ascii="微软雅黑" w:hAnsi="微软雅黑" w:eastAsia="微软雅黑"/>
          <w:szCs w:val="21"/>
        </w:rPr>
        <w:t>4.网站运营初步服务方案；</w:t>
      </w:r>
      <w:bookmarkEnd w:id="99"/>
      <w:bookmarkEnd w:id="100"/>
    </w:p>
    <w:p>
      <w:pPr>
        <w:adjustRightInd w:val="0"/>
        <w:snapToGrid w:val="0"/>
        <w:spacing w:line="480" w:lineRule="exact"/>
        <w:ind w:firstLine="420" w:firstLineChars="200"/>
        <w:rPr>
          <w:rFonts w:ascii="微软雅黑" w:hAnsi="微软雅黑" w:eastAsia="微软雅黑"/>
          <w:szCs w:val="21"/>
        </w:rPr>
      </w:pPr>
      <w:bookmarkStart w:id="101" w:name="_Toc18436"/>
      <w:bookmarkStart w:id="102" w:name="_Toc20404"/>
      <w:r>
        <w:rPr>
          <w:rFonts w:hint="eastAsia" w:ascii="微软雅黑" w:hAnsi="微软雅黑" w:eastAsia="微软雅黑"/>
          <w:szCs w:val="21"/>
        </w:rPr>
        <w:t>5.书面声明，承诺具有履行合同所必需的设备和专业技术能力；承诺参加政府采购活动前三年内，在经营活动中没有受过刑事处罚、行政处罚、行业自律惩戒；</w:t>
      </w:r>
      <w:bookmarkEnd w:id="101"/>
      <w:bookmarkEnd w:id="102"/>
    </w:p>
    <w:p>
      <w:pPr>
        <w:adjustRightInd w:val="0"/>
        <w:snapToGrid w:val="0"/>
        <w:spacing w:line="480" w:lineRule="exact"/>
        <w:ind w:firstLine="420" w:firstLineChars="200"/>
        <w:rPr>
          <w:rFonts w:ascii="微软雅黑" w:hAnsi="微软雅黑" w:eastAsia="微软雅黑"/>
          <w:szCs w:val="21"/>
        </w:rPr>
      </w:pPr>
      <w:bookmarkStart w:id="103" w:name="_Toc5247"/>
      <w:bookmarkStart w:id="104" w:name="_Toc5274"/>
      <w:r>
        <w:rPr>
          <w:rFonts w:hint="eastAsia" w:ascii="微软雅黑" w:hAnsi="微软雅黑" w:eastAsia="微软雅黑"/>
          <w:szCs w:val="21"/>
        </w:rPr>
        <w:t>6.依法缴纳税收和社会保障金的证明材料复印件；依法免税或不需要缴纳社会保障资金的供应商，应提供相应文件证明其依法免税或不需要缴纳社会保障资金；</w:t>
      </w:r>
      <w:bookmarkEnd w:id="103"/>
      <w:bookmarkEnd w:id="104"/>
    </w:p>
    <w:p>
      <w:pPr>
        <w:adjustRightInd w:val="0"/>
        <w:snapToGrid w:val="0"/>
        <w:spacing w:line="480" w:lineRule="exact"/>
        <w:ind w:firstLine="420" w:firstLineChars="200"/>
        <w:rPr>
          <w:rFonts w:ascii="微软雅黑" w:hAnsi="微软雅黑" w:eastAsia="微软雅黑"/>
          <w:szCs w:val="21"/>
        </w:rPr>
      </w:pPr>
      <w:bookmarkStart w:id="105" w:name="_Toc30410"/>
      <w:bookmarkStart w:id="106" w:name="_Toc9946"/>
      <w:r>
        <w:rPr>
          <w:rFonts w:hint="eastAsia" w:ascii="微软雅黑" w:hAnsi="微软雅黑" w:eastAsia="微软雅黑"/>
          <w:szCs w:val="21"/>
        </w:rPr>
        <w:t>7.投标人法定代表人证明书或授权委托函原件材料</w:t>
      </w:r>
      <w:bookmarkEnd w:id="105"/>
      <w:bookmarkEnd w:id="106"/>
      <w:r>
        <w:rPr>
          <w:rFonts w:hint="eastAsia" w:ascii="微软雅黑" w:hAnsi="微软雅黑" w:eastAsia="微软雅黑"/>
          <w:szCs w:val="21"/>
        </w:rPr>
        <w:t>；</w:t>
      </w:r>
    </w:p>
    <w:p>
      <w:pPr>
        <w:adjustRightInd w:val="0"/>
        <w:snapToGrid w:val="0"/>
        <w:spacing w:line="480" w:lineRule="exact"/>
        <w:ind w:firstLine="420" w:firstLineChars="200"/>
        <w:rPr>
          <w:rFonts w:ascii="微软雅黑" w:hAnsi="微软雅黑" w:eastAsia="微软雅黑"/>
          <w:szCs w:val="21"/>
        </w:rPr>
      </w:pPr>
      <w:bookmarkStart w:id="107" w:name="_Toc30526"/>
      <w:bookmarkStart w:id="108" w:name="_Toc29846"/>
      <w:r>
        <w:rPr>
          <w:rFonts w:hint="eastAsia" w:ascii="微软雅黑" w:hAnsi="微软雅黑" w:eastAsia="微软雅黑"/>
          <w:szCs w:val="21"/>
        </w:rPr>
        <w:t>8.采购人要求提供的其他证明材料。</w:t>
      </w:r>
      <w:bookmarkEnd w:id="107"/>
      <w:bookmarkEnd w:id="108"/>
    </w:p>
    <w:p>
      <w:pPr>
        <w:adjustRightInd w:val="0"/>
        <w:snapToGrid w:val="0"/>
        <w:spacing w:line="580" w:lineRule="exact"/>
        <w:ind w:firstLine="560" w:firstLineChars="200"/>
        <w:rPr>
          <w:sz w:val="28"/>
          <w:szCs w:val="28"/>
        </w:rPr>
        <w:sectPr>
          <w:footerReference r:id="rId10" w:type="default"/>
          <w:pgSz w:w="11906" w:h="16838"/>
          <w:pgMar w:top="2098" w:right="1474" w:bottom="1985" w:left="1588" w:header="851" w:footer="851" w:gutter="0"/>
          <w:cols w:space="720" w:num="1"/>
          <w:docGrid w:linePitch="388" w:charSpace="-1260"/>
        </w:sectPr>
      </w:pPr>
    </w:p>
    <w:p>
      <w:pPr>
        <w:adjustRightInd w:val="0"/>
        <w:snapToGrid w:val="0"/>
        <w:spacing w:line="580" w:lineRule="exact"/>
        <w:ind w:firstLine="560" w:firstLineChars="200"/>
        <w:outlineLvl w:val="1"/>
        <w:rPr>
          <w:rFonts w:asciiTheme="minorEastAsia" w:hAnsiTheme="minorEastAsia" w:eastAsiaTheme="minorEastAsia" w:cstheme="minorEastAsia"/>
          <w:sz w:val="28"/>
          <w:szCs w:val="28"/>
        </w:rPr>
      </w:pPr>
      <w:bookmarkStart w:id="109" w:name="_Toc16981"/>
      <w:r>
        <w:rPr>
          <w:rFonts w:hint="eastAsia" w:asciiTheme="minorEastAsia" w:hAnsiTheme="minorEastAsia" w:eastAsiaTheme="minorEastAsia" w:cstheme="minorEastAsia"/>
          <w:sz w:val="28"/>
          <w:szCs w:val="28"/>
        </w:rPr>
        <w:t>1.投标人简介材料（格式自拟）</w:t>
      </w:r>
      <w:bookmarkEnd w:id="109"/>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pStyle w:val="6"/>
        <w:rPr>
          <w:rFonts w:ascii="Times New Roman" w:hAnsi="Times New Roman" w:eastAsia="微软雅黑"/>
        </w:rPr>
      </w:pPr>
    </w:p>
    <w:p>
      <w:pPr>
        <w:rPr>
          <w:rFonts w:eastAsia="微软雅黑"/>
          <w:sz w:val="24"/>
        </w:rPr>
      </w:pPr>
    </w:p>
    <w:p>
      <w:pPr>
        <w:pStyle w:val="6"/>
        <w:rPr>
          <w:rFonts w:ascii="Times New Roman" w:hAnsi="Times New Roman" w:eastAsia="微软雅黑"/>
        </w:rPr>
      </w:pPr>
    </w:p>
    <w:p>
      <w:pPr>
        <w:rPr>
          <w:rFonts w:eastAsia="微软雅黑"/>
          <w:sz w:val="24"/>
        </w:rPr>
      </w:pPr>
    </w:p>
    <w:p>
      <w:pPr>
        <w:pStyle w:val="6"/>
        <w:rPr>
          <w:rFonts w:ascii="Times New Roman" w:hAnsi="Times New Roman"/>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pStyle w:val="6"/>
        <w:rPr>
          <w:rFonts w:ascii="Times New Roman" w:hAnsi="Times New Roman" w:eastAsia="微软雅黑"/>
        </w:rPr>
      </w:pPr>
    </w:p>
    <w:p>
      <w:pPr>
        <w:rPr>
          <w:rFonts w:eastAsia="微软雅黑"/>
          <w:sz w:val="24"/>
        </w:rPr>
      </w:pPr>
    </w:p>
    <w:p>
      <w:pPr>
        <w:pStyle w:val="6"/>
        <w:rPr>
          <w:rFonts w:ascii="Times New Roman" w:hAnsi="Times New Roman" w:eastAsia="微软雅黑"/>
        </w:rPr>
      </w:pPr>
    </w:p>
    <w:p>
      <w:pPr>
        <w:rPr>
          <w:rFonts w:eastAsia="微软雅黑"/>
          <w:sz w:val="24"/>
        </w:rPr>
      </w:pPr>
    </w:p>
    <w:p>
      <w:pPr>
        <w:pStyle w:val="6"/>
        <w:rPr>
          <w:rFonts w:ascii="Times New Roman" w:hAnsi="Times New Roman" w:eastAsia="微软雅黑"/>
        </w:rPr>
      </w:pPr>
    </w:p>
    <w:p>
      <w:pPr>
        <w:rPr>
          <w:rFonts w:eastAsia="微软雅黑"/>
          <w:sz w:val="24"/>
        </w:rPr>
      </w:pPr>
    </w:p>
    <w:p>
      <w:pPr>
        <w:pStyle w:val="6"/>
        <w:rPr>
          <w:rFonts w:ascii="Times New Roman" w:hAnsi="Times New Roman" w:eastAsia="微软雅黑"/>
        </w:rPr>
      </w:pPr>
    </w:p>
    <w:p>
      <w:pPr>
        <w:rPr>
          <w:rFonts w:eastAsia="微软雅黑"/>
          <w:sz w:val="24"/>
        </w:rPr>
      </w:pPr>
    </w:p>
    <w:p>
      <w:pPr>
        <w:pStyle w:val="6"/>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numPr>
          <w:ilvl w:val="0"/>
          <w:numId w:val="1"/>
        </w:numPr>
        <w:adjustRightInd w:val="0"/>
        <w:snapToGrid w:val="0"/>
        <w:spacing w:line="580" w:lineRule="exact"/>
        <w:ind w:firstLine="560" w:firstLineChars="200"/>
        <w:outlineLvl w:val="1"/>
        <w:rPr>
          <w:sz w:val="28"/>
          <w:szCs w:val="28"/>
        </w:rPr>
      </w:pPr>
      <w:bookmarkStart w:id="110" w:name="_Toc11332"/>
      <w:r>
        <w:rPr>
          <w:rFonts w:hint="eastAsia"/>
          <w:sz w:val="28"/>
          <w:szCs w:val="28"/>
        </w:rPr>
        <w:t>投标项目及价格</w:t>
      </w:r>
      <w:bookmarkEnd w:id="110"/>
    </w:p>
    <w:p>
      <w:pPr>
        <w:pStyle w:val="5"/>
        <w:numPr>
          <w:ilvl w:val="0"/>
          <w:numId w:val="2"/>
        </w:numPr>
        <w:jc w:val="center"/>
        <w:rPr>
          <w:color w:val="000000"/>
        </w:rPr>
      </w:pPr>
      <w:bookmarkStart w:id="111" w:name="_Toc505867283"/>
      <w:r>
        <w:rPr>
          <w:rFonts w:hint="eastAsia"/>
          <w:color w:val="000000"/>
        </w:rPr>
        <w:t>1投标报价函</w:t>
      </w:r>
      <w:bookmarkEnd w:id="111"/>
    </w:p>
    <w:p/>
    <w:p>
      <w:pPr>
        <w:rPr>
          <w:rFonts w:ascii="宋体"/>
          <w:color w:val="000000"/>
          <w:sz w:val="24"/>
          <w:u w:val="single"/>
        </w:rPr>
      </w:pPr>
      <w:r>
        <w:rPr>
          <w:rFonts w:hint="eastAsia" w:ascii="宋体"/>
          <w:color w:val="000000"/>
          <w:sz w:val="24"/>
        </w:rPr>
        <w:t>致：</w:t>
      </w:r>
      <w:r>
        <w:rPr>
          <w:rFonts w:hint="eastAsia" w:ascii="宋体"/>
          <w:sz w:val="24"/>
          <w:u w:val="single"/>
        </w:rPr>
        <w:t xml:space="preserve">                    </w:t>
      </w:r>
      <w:r>
        <w:rPr>
          <w:rFonts w:hint="eastAsia" w:ascii="宋体"/>
          <w:color w:val="000000"/>
          <w:sz w:val="24"/>
          <w:u w:val="single"/>
        </w:rPr>
        <w:t xml:space="preserve">  </w:t>
      </w:r>
    </w:p>
    <w:p>
      <w:pPr>
        <w:rPr>
          <w:rFonts w:ascii="宋体"/>
          <w:color w:val="000000"/>
          <w:sz w:val="24"/>
          <w:u w:val="single"/>
        </w:rPr>
      </w:pPr>
    </w:p>
    <w:p>
      <w:pPr>
        <w:tabs>
          <w:tab w:val="left" w:pos="7560"/>
        </w:tabs>
        <w:ind w:right="-153" w:rightChars="-73" w:firstLine="490"/>
        <w:rPr>
          <w:rFonts w:ascii="宋体"/>
          <w:color w:val="000000"/>
          <w:sz w:val="24"/>
        </w:rPr>
      </w:pPr>
      <w:r>
        <w:rPr>
          <w:rFonts w:hint="eastAsia" w:ascii="宋体"/>
          <w:color w:val="000000"/>
          <w:sz w:val="24"/>
        </w:rPr>
        <w:t>1、根据你方</w:t>
      </w:r>
      <w:r>
        <w:rPr>
          <w:rFonts w:hint="eastAsia" w:ascii="宋体"/>
          <w:color w:val="000000"/>
          <w:sz w:val="24"/>
          <w:u w:val="single"/>
        </w:rPr>
        <w:t xml:space="preserve"> </w:t>
      </w:r>
      <w:r>
        <w:rPr>
          <w:rFonts w:hint="eastAsia" w:ascii="宋体"/>
          <w:sz w:val="24"/>
          <w:u w:val="single"/>
        </w:rPr>
        <w:t xml:space="preserve"> </w:t>
      </w:r>
      <w:r>
        <w:rPr>
          <w:rFonts w:hint="eastAsia" w:ascii="宋体" w:cs="宋体"/>
          <w:color w:val="000000"/>
          <w:sz w:val="24"/>
          <w:u w:val="single"/>
        </w:rPr>
        <w:t xml:space="preserve">       （项目名称）</w:t>
      </w:r>
      <w:r>
        <w:rPr>
          <w:rFonts w:hint="eastAsia" w:ascii="宋体"/>
          <w:color w:val="000000"/>
          <w:sz w:val="24"/>
          <w:u w:val="single"/>
        </w:rPr>
        <w:t xml:space="preserve"> </w:t>
      </w:r>
      <w:r>
        <w:rPr>
          <w:rFonts w:hint="eastAsia" w:ascii="宋体"/>
          <w:color w:val="000000"/>
          <w:sz w:val="24"/>
        </w:rPr>
        <w:t>采购公告，遵照有关规定，经研究上述比选文件后，我方愿以人民币(大写)</w:t>
      </w:r>
      <w:r>
        <w:rPr>
          <w:rFonts w:hint="eastAsia" w:ascii="宋体"/>
          <w:color w:val="000000"/>
          <w:sz w:val="24"/>
          <w:u w:val="single"/>
        </w:rPr>
        <w:t xml:space="preserve">         </w:t>
      </w:r>
      <w:r>
        <w:rPr>
          <w:rFonts w:hint="eastAsia" w:ascii="宋体"/>
          <w:color w:val="000000"/>
          <w:sz w:val="24"/>
        </w:rPr>
        <w:t>元（</w:t>
      </w:r>
      <w:r>
        <w:rPr>
          <w:rFonts w:hint="eastAsia" w:ascii="宋体"/>
          <w:sz w:val="24"/>
          <w:u w:val="single"/>
        </w:rPr>
        <w:t xml:space="preserve">￥       </w:t>
      </w:r>
      <w:r>
        <w:rPr>
          <w:rFonts w:hint="eastAsia" w:ascii="宋体"/>
          <w:sz w:val="24"/>
        </w:rPr>
        <w:t>元</w:t>
      </w:r>
      <w:r>
        <w:rPr>
          <w:rFonts w:hint="eastAsia" w:ascii="宋体"/>
          <w:color w:val="000000"/>
          <w:sz w:val="24"/>
        </w:rPr>
        <w:t>）的总价承包上述项目。</w:t>
      </w:r>
    </w:p>
    <w:p>
      <w:pPr>
        <w:ind w:firstLine="490"/>
        <w:rPr>
          <w:rFonts w:ascii="宋体"/>
          <w:color w:val="000000"/>
          <w:sz w:val="24"/>
        </w:rPr>
      </w:pPr>
      <w:r>
        <w:rPr>
          <w:rFonts w:hint="eastAsia" w:ascii="宋体"/>
          <w:color w:val="000000"/>
          <w:sz w:val="24"/>
        </w:rPr>
        <w:t>2、我方已详细审核全部比选文件，包括修改文件（如有时）及有关附件。</w:t>
      </w:r>
    </w:p>
    <w:p>
      <w:pPr>
        <w:ind w:firstLine="490"/>
        <w:rPr>
          <w:rFonts w:ascii="宋体"/>
          <w:color w:val="000000"/>
          <w:sz w:val="24"/>
        </w:rPr>
      </w:pPr>
      <w:r>
        <w:rPr>
          <w:rFonts w:hint="eastAsia" w:ascii="宋体"/>
          <w:color w:val="000000"/>
          <w:sz w:val="24"/>
        </w:rPr>
        <w:t>3、一旦我方中选，我方保证按合同协议书中规定的服务期内完成并移交相关成果。</w:t>
      </w:r>
    </w:p>
    <w:p>
      <w:pPr>
        <w:ind w:firstLine="490"/>
        <w:rPr>
          <w:rFonts w:ascii="宋体"/>
          <w:color w:val="000000"/>
          <w:sz w:val="24"/>
        </w:rPr>
      </w:pPr>
      <w:r>
        <w:rPr>
          <w:rFonts w:hint="eastAsia" w:ascii="宋体"/>
          <w:color w:val="000000"/>
          <w:sz w:val="24"/>
        </w:rPr>
        <w:t>4、我方同意所提交的响应文件在比选文件中规定的比选有效期内有效，在此期间内如果中选，我方将受此约束。</w:t>
      </w:r>
    </w:p>
    <w:p>
      <w:pPr>
        <w:ind w:firstLine="490"/>
        <w:rPr>
          <w:rFonts w:ascii="宋体"/>
          <w:color w:val="000000"/>
          <w:sz w:val="24"/>
        </w:rPr>
      </w:pPr>
      <w:r>
        <w:rPr>
          <w:rFonts w:hint="eastAsia" w:ascii="宋体"/>
          <w:color w:val="000000"/>
          <w:sz w:val="24"/>
        </w:rPr>
        <w:t>5、除非另外达成协议并生效，你方的中选通知书和本响应文件将成为约束双方的合同文件的组成部分。</w:t>
      </w:r>
    </w:p>
    <w:p>
      <w:pPr>
        <w:ind w:firstLine="490"/>
        <w:rPr>
          <w:rFonts w:ascii="宋体"/>
          <w:color w:val="000000"/>
          <w:sz w:val="24"/>
        </w:rPr>
      </w:pPr>
      <w:r>
        <w:rPr>
          <w:rFonts w:hint="eastAsia" w:ascii="宋体"/>
          <w:color w:val="000000"/>
          <w:sz w:val="24"/>
        </w:rPr>
        <w:t xml:space="preserve">      </w:t>
      </w:r>
    </w:p>
    <w:p>
      <w:pPr>
        <w:ind w:firstLine="490"/>
        <w:rPr>
          <w:rFonts w:ascii="宋体"/>
          <w:color w:val="000000"/>
          <w:sz w:val="24"/>
        </w:rPr>
      </w:pPr>
      <w:r>
        <w:rPr>
          <w:rFonts w:hint="eastAsia" w:ascii="宋体"/>
          <w:color w:val="000000"/>
          <w:sz w:val="24"/>
        </w:rPr>
        <w:t xml:space="preserve">                    </w:t>
      </w:r>
    </w:p>
    <w:p>
      <w:pPr>
        <w:rPr>
          <w:rFonts w:ascii="宋体"/>
          <w:color w:val="000000"/>
          <w:sz w:val="24"/>
        </w:rPr>
      </w:pPr>
    </w:p>
    <w:p>
      <w:pPr>
        <w:rPr>
          <w:rFonts w:ascii="宋体"/>
          <w:color w:val="000000"/>
          <w:sz w:val="24"/>
        </w:rPr>
      </w:pPr>
    </w:p>
    <w:p>
      <w:pPr>
        <w:spacing w:line="360" w:lineRule="auto"/>
        <w:ind w:left="1000"/>
        <w:rPr>
          <w:rFonts w:ascii="宋体"/>
          <w:color w:val="000000"/>
          <w:sz w:val="24"/>
        </w:rPr>
      </w:pPr>
      <w:r>
        <w:rPr>
          <w:rFonts w:hint="eastAsia" w:ascii="宋体"/>
          <w:color w:val="000000"/>
          <w:sz w:val="24"/>
        </w:rPr>
        <w:t xml:space="preserve">        </w:t>
      </w:r>
    </w:p>
    <w:p>
      <w:pPr>
        <w:spacing w:line="360" w:lineRule="auto"/>
        <w:ind w:left="1000"/>
        <w:rPr>
          <w:rFonts w:ascii="宋体"/>
          <w:color w:val="000000"/>
          <w:sz w:val="24"/>
        </w:rPr>
      </w:pPr>
    </w:p>
    <w:p>
      <w:pPr>
        <w:spacing w:line="360" w:lineRule="auto"/>
        <w:ind w:left="1000"/>
        <w:rPr>
          <w:rFonts w:ascii="宋体"/>
          <w:color w:val="000000"/>
          <w:sz w:val="24"/>
        </w:rPr>
      </w:pPr>
    </w:p>
    <w:p>
      <w:pPr>
        <w:spacing w:line="360" w:lineRule="auto"/>
        <w:ind w:left="1000"/>
        <w:rPr>
          <w:rFonts w:ascii="宋体"/>
          <w:color w:val="000000"/>
          <w:sz w:val="24"/>
        </w:rPr>
      </w:pPr>
    </w:p>
    <w:p>
      <w:pPr>
        <w:spacing w:line="360" w:lineRule="auto"/>
        <w:ind w:left="1000"/>
        <w:rPr>
          <w:rFonts w:ascii="宋体"/>
          <w:color w:val="000000"/>
          <w:sz w:val="24"/>
        </w:rPr>
      </w:pPr>
    </w:p>
    <w:p>
      <w:pPr>
        <w:ind w:firstLine="1837" w:firstLineChars="875"/>
        <w:rPr>
          <w:rFonts w:ascii="宋体"/>
          <w:color w:val="000000"/>
          <w:sz w:val="24"/>
          <w:u w:val="single"/>
        </w:rPr>
      </w:pPr>
      <w:r>
        <w:t xml:space="preserve">  </w:t>
      </w:r>
      <w:r>
        <w:rPr>
          <w:rFonts w:hint="eastAsia" w:ascii="宋体"/>
          <w:color w:val="000000"/>
          <w:sz w:val="24"/>
        </w:rPr>
        <w:t>供应商：</w:t>
      </w:r>
      <w:r>
        <w:rPr>
          <w:rFonts w:hint="eastAsia" w:ascii="宋体"/>
          <w:color w:val="000000"/>
          <w:sz w:val="24"/>
          <w:u w:val="single"/>
        </w:rPr>
        <w:t xml:space="preserve">               </w:t>
      </w:r>
      <w:r>
        <w:rPr>
          <w:rFonts w:hint="eastAsia" w:ascii="宋体"/>
          <w:color w:val="000000"/>
          <w:sz w:val="24"/>
        </w:rPr>
        <w:t xml:space="preserve">（盖章）   </w:t>
      </w:r>
    </w:p>
    <w:p>
      <w:pPr>
        <w:ind w:firstLine="2100" w:firstLineChars="875"/>
        <w:rPr>
          <w:rFonts w:ascii="宋体"/>
          <w:color w:val="000000"/>
          <w:sz w:val="24"/>
          <w:u w:val="single"/>
        </w:rPr>
      </w:pPr>
      <w:r>
        <w:rPr>
          <w:rFonts w:hint="eastAsia" w:ascii="宋体"/>
          <w:color w:val="000000"/>
          <w:sz w:val="24"/>
        </w:rPr>
        <w:t>单位地址：</w:t>
      </w:r>
      <w:r>
        <w:rPr>
          <w:rFonts w:hint="eastAsia" w:ascii="宋体"/>
          <w:color w:val="000000"/>
          <w:sz w:val="24"/>
          <w:u w:val="single"/>
        </w:rPr>
        <w:tab/>
      </w:r>
      <w:r>
        <w:rPr>
          <w:rFonts w:hint="eastAsia" w:ascii="宋体"/>
          <w:color w:val="000000"/>
          <w:sz w:val="24"/>
          <w:u w:val="single"/>
        </w:rPr>
        <w:t xml:space="preserve">                   </w:t>
      </w:r>
    </w:p>
    <w:p>
      <w:pPr>
        <w:ind w:firstLine="2100" w:firstLineChars="875"/>
        <w:rPr>
          <w:rFonts w:ascii="宋体"/>
          <w:color w:val="000000"/>
          <w:sz w:val="24"/>
        </w:rPr>
      </w:pPr>
      <w:r>
        <w:rPr>
          <w:rFonts w:hint="eastAsia" w:ascii="宋体"/>
          <w:color w:val="000000"/>
          <w:sz w:val="24"/>
        </w:rPr>
        <w:t>电话：</w:t>
      </w:r>
      <w:r>
        <w:rPr>
          <w:rFonts w:hint="eastAsia" w:ascii="宋体"/>
          <w:color w:val="000000"/>
          <w:sz w:val="24"/>
          <w:u w:val="single"/>
        </w:rPr>
        <w:tab/>
      </w:r>
      <w:r>
        <w:rPr>
          <w:rFonts w:hint="eastAsia" w:ascii="宋体"/>
          <w:color w:val="000000"/>
          <w:sz w:val="24"/>
          <w:u w:val="single"/>
        </w:rPr>
        <w:t xml:space="preserve">                   </w:t>
      </w:r>
    </w:p>
    <w:p>
      <w:pPr>
        <w:ind w:firstLine="2100" w:firstLineChars="875"/>
        <w:rPr>
          <w:rFonts w:ascii="宋体"/>
          <w:color w:val="000000"/>
          <w:sz w:val="24"/>
          <w:u w:val="single"/>
        </w:rPr>
      </w:pPr>
      <w:r>
        <w:rPr>
          <w:rFonts w:hint="eastAsia" w:ascii="宋体"/>
          <w:color w:val="000000"/>
          <w:sz w:val="24"/>
        </w:rPr>
        <w:t>传真：</w:t>
      </w:r>
      <w:r>
        <w:rPr>
          <w:rFonts w:hint="eastAsia" w:ascii="宋体"/>
          <w:color w:val="000000"/>
          <w:sz w:val="24"/>
          <w:u w:val="single"/>
        </w:rPr>
        <w:tab/>
      </w:r>
      <w:r>
        <w:rPr>
          <w:rFonts w:hint="eastAsia" w:ascii="宋体"/>
          <w:color w:val="000000"/>
          <w:sz w:val="24"/>
          <w:u w:val="single"/>
        </w:rPr>
        <w:t xml:space="preserve">                   </w:t>
      </w:r>
    </w:p>
    <w:p>
      <w:pPr>
        <w:ind w:firstLine="2100" w:firstLineChars="875"/>
        <w:rPr>
          <w:rFonts w:ascii="宋体"/>
          <w:color w:val="000000"/>
          <w:sz w:val="24"/>
          <w:u w:val="single"/>
        </w:rPr>
      </w:pPr>
      <w:r>
        <w:rPr>
          <w:rFonts w:hint="eastAsia" w:ascii="宋体"/>
          <w:color w:val="000000"/>
          <w:sz w:val="24"/>
        </w:rPr>
        <w:t>日期：</w:t>
      </w:r>
      <w:r>
        <w:rPr>
          <w:rFonts w:hint="eastAsia" w:ascii="宋体"/>
          <w:color w:val="000000"/>
          <w:sz w:val="24"/>
          <w:u w:val="single"/>
        </w:rPr>
        <w:t xml:space="preserve">      </w:t>
      </w:r>
      <w:r>
        <w:rPr>
          <w:rFonts w:hint="eastAsia" w:ascii="宋体"/>
          <w:color w:val="000000"/>
          <w:sz w:val="24"/>
        </w:rPr>
        <w:t>年</w:t>
      </w:r>
      <w:r>
        <w:rPr>
          <w:rFonts w:hint="eastAsia" w:ascii="宋体"/>
          <w:color w:val="000000"/>
          <w:sz w:val="24"/>
          <w:u w:val="single"/>
        </w:rPr>
        <w:t xml:space="preserve">     </w:t>
      </w:r>
      <w:r>
        <w:rPr>
          <w:rFonts w:hint="eastAsia" w:ascii="宋体"/>
          <w:color w:val="000000"/>
          <w:sz w:val="24"/>
        </w:rPr>
        <w:t>月</w:t>
      </w:r>
      <w:r>
        <w:rPr>
          <w:rFonts w:hint="eastAsia" w:ascii="宋体"/>
          <w:color w:val="000000"/>
          <w:sz w:val="24"/>
          <w:u w:val="single"/>
        </w:rPr>
        <w:t xml:space="preserve">    </w:t>
      </w:r>
      <w:r>
        <w:rPr>
          <w:rFonts w:hint="eastAsia" w:ascii="宋体"/>
          <w:color w:val="000000"/>
          <w:sz w:val="24"/>
        </w:rPr>
        <w:t>日</w:t>
      </w:r>
    </w:p>
    <w:p>
      <w:pPr>
        <w:spacing w:line="360" w:lineRule="auto"/>
        <w:ind w:left="1000" w:firstLine="2599" w:firstLineChars="1083"/>
        <w:rPr>
          <w:rFonts w:ascii="宋体"/>
          <w:color w:val="000000"/>
          <w:sz w:val="24"/>
        </w:rPr>
      </w:pPr>
    </w:p>
    <w:p/>
    <w:p>
      <w:pPr>
        <w:ind w:firstLine="4320" w:firstLineChars="1800"/>
        <w:rPr>
          <w:sz w:val="24"/>
        </w:rPr>
      </w:pPr>
    </w:p>
    <w:p>
      <w:pPr>
        <w:rPr>
          <w:sz w:val="24"/>
        </w:rPr>
      </w:pPr>
    </w:p>
    <w:p>
      <w:pPr>
        <w:pStyle w:val="5"/>
        <w:jc w:val="center"/>
        <w:rPr>
          <w:color w:val="000000"/>
        </w:rPr>
      </w:pPr>
      <w:r>
        <w:rPr>
          <w:rFonts w:hint="eastAsia"/>
          <w:color w:val="000000"/>
        </w:rPr>
        <w:t>2.2明细报价表</w:t>
      </w:r>
    </w:p>
    <w:tbl>
      <w:tblPr>
        <w:tblStyle w:val="12"/>
        <w:tblpPr w:leftFromText="180" w:rightFromText="180" w:vertAnchor="text" w:horzAnchor="page" w:tblpX="1642" w:tblpY="4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239"/>
        <w:gridCol w:w="2340"/>
        <w:gridCol w:w="1424"/>
        <w:gridCol w:w="945"/>
        <w:gridCol w:w="141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415" w:type="dxa"/>
            <w:vAlign w:val="center"/>
          </w:tcPr>
          <w:p>
            <w:pPr>
              <w:spacing w:line="360" w:lineRule="auto"/>
              <w:jc w:val="center"/>
              <w:rPr>
                <w:rFonts w:ascii="宋体" w:hAnsi="宋体"/>
                <w:b/>
                <w:sz w:val="24"/>
              </w:rPr>
            </w:pPr>
            <w:r>
              <w:rPr>
                <w:rFonts w:hint="eastAsia" w:ascii="宋体" w:hAnsi="宋体"/>
                <w:b/>
                <w:sz w:val="24"/>
              </w:rPr>
              <w:t>序号</w:t>
            </w:r>
          </w:p>
        </w:tc>
        <w:tc>
          <w:tcPr>
            <w:tcW w:w="1239" w:type="dxa"/>
            <w:vAlign w:val="center"/>
          </w:tcPr>
          <w:p>
            <w:pPr>
              <w:spacing w:line="360" w:lineRule="auto"/>
              <w:jc w:val="center"/>
              <w:rPr>
                <w:rFonts w:ascii="宋体" w:hAnsi="宋体"/>
                <w:b/>
                <w:sz w:val="24"/>
              </w:rPr>
            </w:pPr>
            <w:r>
              <w:rPr>
                <w:rFonts w:hint="eastAsia" w:ascii="宋体" w:hAnsi="宋体"/>
                <w:b/>
                <w:sz w:val="24"/>
              </w:rPr>
              <w:t>名称</w:t>
            </w:r>
          </w:p>
        </w:tc>
        <w:tc>
          <w:tcPr>
            <w:tcW w:w="2340" w:type="dxa"/>
            <w:vAlign w:val="center"/>
          </w:tcPr>
          <w:p>
            <w:pPr>
              <w:spacing w:line="360" w:lineRule="auto"/>
              <w:jc w:val="center"/>
              <w:rPr>
                <w:rFonts w:ascii="宋体" w:hAnsi="宋体"/>
                <w:b/>
                <w:sz w:val="24"/>
              </w:rPr>
            </w:pPr>
            <w:r>
              <w:rPr>
                <w:rFonts w:hint="eastAsia" w:ascii="宋体" w:hAnsi="宋体"/>
                <w:b/>
                <w:sz w:val="24"/>
              </w:rPr>
              <w:t>品牌、规格型号</w:t>
            </w:r>
          </w:p>
        </w:tc>
        <w:tc>
          <w:tcPr>
            <w:tcW w:w="1424" w:type="dxa"/>
            <w:vAlign w:val="center"/>
          </w:tcPr>
          <w:p>
            <w:pPr>
              <w:spacing w:line="360" w:lineRule="auto"/>
              <w:jc w:val="center"/>
              <w:rPr>
                <w:rFonts w:ascii="宋体" w:hAnsi="宋体"/>
                <w:b/>
                <w:sz w:val="24"/>
              </w:rPr>
            </w:pPr>
            <w:r>
              <w:rPr>
                <w:rFonts w:hint="eastAsia" w:ascii="宋体" w:hAnsi="宋体"/>
                <w:b/>
                <w:sz w:val="24"/>
              </w:rPr>
              <w:t>制造商</w:t>
            </w:r>
          </w:p>
        </w:tc>
        <w:tc>
          <w:tcPr>
            <w:tcW w:w="945" w:type="dxa"/>
            <w:vAlign w:val="center"/>
          </w:tcPr>
          <w:p>
            <w:pPr>
              <w:spacing w:line="360" w:lineRule="auto"/>
              <w:jc w:val="center"/>
              <w:rPr>
                <w:rFonts w:ascii="宋体" w:hAnsi="宋体"/>
                <w:b/>
                <w:sz w:val="24"/>
              </w:rPr>
            </w:pPr>
            <w:r>
              <w:rPr>
                <w:rFonts w:hint="eastAsia" w:ascii="宋体" w:hAnsi="宋体"/>
                <w:b/>
                <w:sz w:val="24"/>
              </w:rPr>
              <w:t>数量</w:t>
            </w:r>
          </w:p>
        </w:tc>
        <w:tc>
          <w:tcPr>
            <w:tcW w:w="1410" w:type="dxa"/>
            <w:vAlign w:val="center"/>
          </w:tcPr>
          <w:p>
            <w:pPr>
              <w:spacing w:line="360" w:lineRule="auto"/>
              <w:jc w:val="center"/>
              <w:rPr>
                <w:rFonts w:ascii="宋体" w:hAnsi="宋体"/>
                <w:b/>
                <w:sz w:val="24"/>
              </w:rPr>
            </w:pPr>
            <w:r>
              <w:rPr>
                <w:rFonts w:hint="eastAsia" w:ascii="宋体" w:hAnsi="宋体"/>
                <w:b/>
                <w:sz w:val="24"/>
              </w:rPr>
              <w:t>单价</w:t>
            </w:r>
          </w:p>
        </w:tc>
        <w:tc>
          <w:tcPr>
            <w:tcW w:w="1117" w:type="dxa"/>
            <w:vAlign w:val="center"/>
          </w:tcPr>
          <w:p>
            <w:pPr>
              <w:spacing w:line="360" w:lineRule="auto"/>
              <w:jc w:val="center"/>
              <w:rPr>
                <w:rFonts w:ascii="宋体" w:hAnsi="宋体"/>
                <w:b/>
                <w:sz w:val="24"/>
              </w:rPr>
            </w:pPr>
            <w:r>
              <w:rPr>
                <w:rFonts w:hint="eastAsia" w:ascii="宋体" w:hAnsi="宋体"/>
                <w:b/>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trPr>
        <w:tc>
          <w:tcPr>
            <w:tcW w:w="415" w:type="dxa"/>
            <w:vAlign w:val="center"/>
          </w:tcPr>
          <w:p>
            <w:pPr>
              <w:spacing w:line="360" w:lineRule="auto"/>
              <w:jc w:val="center"/>
              <w:rPr>
                <w:rFonts w:ascii="宋体" w:hAnsi="宋体"/>
                <w:sz w:val="24"/>
              </w:rPr>
            </w:pPr>
            <w:r>
              <w:rPr>
                <w:rFonts w:hint="eastAsia" w:ascii="宋体" w:hAnsi="宋体"/>
                <w:sz w:val="24"/>
              </w:rPr>
              <w:t>1</w:t>
            </w:r>
          </w:p>
        </w:tc>
        <w:tc>
          <w:tcPr>
            <w:tcW w:w="1239" w:type="dxa"/>
            <w:vAlign w:val="center"/>
          </w:tcPr>
          <w:p>
            <w:pPr>
              <w:spacing w:line="240" w:lineRule="atLeast"/>
              <w:jc w:val="center"/>
              <w:rPr>
                <w:rFonts w:ascii="宋体" w:hAnsi="宋体"/>
                <w:sz w:val="24"/>
              </w:rPr>
            </w:pPr>
          </w:p>
        </w:tc>
        <w:tc>
          <w:tcPr>
            <w:tcW w:w="2340" w:type="dxa"/>
            <w:vAlign w:val="center"/>
          </w:tcPr>
          <w:p>
            <w:pPr>
              <w:spacing w:line="240" w:lineRule="atLeast"/>
              <w:jc w:val="left"/>
              <w:rPr>
                <w:rFonts w:ascii="宋体" w:hAnsi="宋体"/>
                <w:sz w:val="24"/>
              </w:rPr>
            </w:pPr>
          </w:p>
        </w:tc>
        <w:tc>
          <w:tcPr>
            <w:tcW w:w="1424" w:type="dxa"/>
            <w:vAlign w:val="center"/>
          </w:tcPr>
          <w:p>
            <w:pPr>
              <w:spacing w:line="240" w:lineRule="atLeast"/>
              <w:jc w:val="left"/>
              <w:rPr>
                <w:rFonts w:ascii="宋体" w:hAnsi="宋体"/>
                <w:sz w:val="24"/>
              </w:rPr>
            </w:pPr>
          </w:p>
        </w:tc>
        <w:tc>
          <w:tcPr>
            <w:tcW w:w="945" w:type="dxa"/>
            <w:vAlign w:val="center"/>
          </w:tcPr>
          <w:p>
            <w:pPr>
              <w:spacing w:line="240" w:lineRule="atLeast"/>
              <w:jc w:val="center"/>
              <w:rPr>
                <w:rFonts w:ascii="宋体" w:hAnsi="宋体"/>
                <w:sz w:val="24"/>
              </w:rPr>
            </w:pPr>
          </w:p>
        </w:tc>
        <w:tc>
          <w:tcPr>
            <w:tcW w:w="1410" w:type="dxa"/>
            <w:vAlign w:val="center"/>
          </w:tcPr>
          <w:p>
            <w:pPr>
              <w:spacing w:line="240" w:lineRule="atLeast"/>
              <w:jc w:val="center"/>
              <w:rPr>
                <w:rFonts w:ascii="宋体" w:hAnsi="宋体"/>
                <w:sz w:val="24"/>
              </w:rPr>
            </w:pPr>
          </w:p>
        </w:tc>
        <w:tc>
          <w:tcPr>
            <w:tcW w:w="1117" w:type="dxa"/>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trPr>
        <w:tc>
          <w:tcPr>
            <w:tcW w:w="415" w:type="dxa"/>
            <w:vAlign w:val="center"/>
          </w:tcPr>
          <w:p>
            <w:pPr>
              <w:spacing w:line="360" w:lineRule="auto"/>
              <w:jc w:val="center"/>
              <w:rPr>
                <w:rFonts w:ascii="宋体" w:hAnsi="宋体"/>
                <w:sz w:val="24"/>
              </w:rPr>
            </w:pPr>
            <w:r>
              <w:rPr>
                <w:rFonts w:hint="eastAsia" w:ascii="宋体" w:hAnsi="宋体"/>
                <w:sz w:val="24"/>
              </w:rPr>
              <w:t>2</w:t>
            </w:r>
          </w:p>
        </w:tc>
        <w:tc>
          <w:tcPr>
            <w:tcW w:w="1239" w:type="dxa"/>
            <w:vAlign w:val="center"/>
          </w:tcPr>
          <w:p>
            <w:pPr>
              <w:spacing w:line="240" w:lineRule="atLeast"/>
              <w:jc w:val="center"/>
              <w:rPr>
                <w:rFonts w:ascii="宋体" w:hAnsi="宋体"/>
                <w:sz w:val="24"/>
              </w:rPr>
            </w:pPr>
          </w:p>
        </w:tc>
        <w:tc>
          <w:tcPr>
            <w:tcW w:w="2340" w:type="dxa"/>
            <w:vAlign w:val="center"/>
          </w:tcPr>
          <w:p>
            <w:pPr>
              <w:spacing w:line="240" w:lineRule="atLeast"/>
              <w:jc w:val="left"/>
              <w:rPr>
                <w:rFonts w:ascii="宋体" w:hAnsi="宋体"/>
                <w:sz w:val="24"/>
              </w:rPr>
            </w:pPr>
          </w:p>
        </w:tc>
        <w:tc>
          <w:tcPr>
            <w:tcW w:w="1424" w:type="dxa"/>
            <w:vAlign w:val="center"/>
          </w:tcPr>
          <w:p>
            <w:pPr>
              <w:spacing w:line="240" w:lineRule="atLeast"/>
              <w:jc w:val="left"/>
              <w:rPr>
                <w:rFonts w:ascii="宋体" w:hAnsi="宋体"/>
                <w:sz w:val="24"/>
              </w:rPr>
            </w:pPr>
          </w:p>
        </w:tc>
        <w:tc>
          <w:tcPr>
            <w:tcW w:w="945" w:type="dxa"/>
            <w:vAlign w:val="center"/>
          </w:tcPr>
          <w:p>
            <w:pPr>
              <w:spacing w:line="240" w:lineRule="atLeast"/>
              <w:jc w:val="center"/>
              <w:rPr>
                <w:rFonts w:ascii="宋体" w:hAnsi="宋体"/>
                <w:sz w:val="24"/>
              </w:rPr>
            </w:pPr>
          </w:p>
        </w:tc>
        <w:tc>
          <w:tcPr>
            <w:tcW w:w="1410" w:type="dxa"/>
            <w:vAlign w:val="center"/>
          </w:tcPr>
          <w:p>
            <w:pPr>
              <w:spacing w:line="240" w:lineRule="atLeast"/>
              <w:jc w:val="center"/>
              <w:rPr>
                <w:rFonts w:ascii="宋体" w:hAnsi="宋体"/>
                <w:sz w:val="24"/>
              </w:rPr>
            </w:pPr>
          </w:p>
        </w:tc>
        <w:tc>
          <w:tcPr>
            <w:tcW w:w="1117" w:type="dxa"/>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trPr>
        <w:tc>
          <w:tcPr>
            <w:tcW w:w="415" w:type="dxa"/>
            <w:vAlign w:val="center"/>
          </w:tcPr>
          <w:p>
            <w:pPr>
              <w:spacing w:line="360" w:lineRule="auto"/>
              <w:jc w:val="center"/>
              <w:rPr>
                <w:rFonts w:ascii="宋体" w:hAnsi="宋体"/>
                <w:sz w:val="24"/>
              </w:rPr>
            </w:pPr>
            <w:r>
              <w:rPr>
                <w:rFonts w:hint="eastAsia" w:ascii="宋体" w:hAnsi="宋体"/>
                <w:sz w:val="24"/>
              </w:rPr>
              <w:t>3</w:t>
            </w:r>
          </w:p>
        </w:tc>
        <w:tc>
          <w:tcPr>
            <w:tcW w:w="1239" w:type="dxa"/>
            <w:vAlign w:val="center"/>
          </w:tcPr>
          <w:p>
            <w:pPr>
              <w:spacing w:line="240" w:lineRule="atLeast"/>
              <w:jc w:val="center"/>
              <w:rPr>
                <w:rFonts w:ascii="宋体" w:hAnsi="宋体"/>
                <w:sz w:val="24"/>
              </w:rPr>
            </w:pPr>
          </w:p>
        </w:tc>
        <w:tc>
          <w:tcPr>
            <w:tcW w:w="2340" w:type="dxa"/>
            <w:vAlign w:val="center"/>
          </w:tcPr>
          <w:p>
            <w:pPr>
              <w:spacing w:line="240" w:lineRule="atLeast"/>
              <w:jc w:val="left"/>
              <w:rPr>
                <w:rFonts w:ascii="宋体" w:hAnsi="宋体"/>
                <w:sz w:val="24"/>
              </w:rPr>
            </w:pPr>
          </w:p>
        </w:tc>
        <w:tc>
          <w:tcPr>
            <w:tcW w:w="1424" w:type="dxa"/>
            <w:vAlign w:val="center"/>
          </w:tcPr>
          <w:p>
            <w:pPr>
              <w:spacing w:line="240" w:lineRule="atLeast"/>
              <w:jc w:val="left"/>
              <w:rPr>
                <w:rFonts w:ascii="宋体" w:hAnsi="宋体"/>
                <w:sz w:val="24"/>
              </w:rPr>
            </w:pPr>
          </w:p>
        </w:tc>
        <w:tc>
          <w:tcPr>
            <w:tcW w:w="945" w:type="dxa"/>
            <w:vAlign w:val="center"/>
          </w:tcPr>
          <w:p>
            <w:pPr>
              <w:spacing w:line="240" w:lineRule="atLeast"/>
              <w:jc w:val="center"/>
              <w:rPr>
                <w:rFonts w:ascii="宋体" w:hAnsi="宋体"/>
                <w:sz w:val="24"/>
              </w:rPr>
            </w:pPr>
          </w:p>
        </w:tc>
        <w:tc>
          <w:tcPr>
            <w:tcW w:w="1410" w:type="dxa"/>
            <w:vAlign w:val="center"/>
          </w:tcPr>
          <w:p>
            <w:pPr>
              <w:spacing w:line="240" w:lineRule="atLeast"/>
              <w:jc w:val="center"/>
              <w:rPr>
                <w:rFonts w:ascii="宋体" w:hAnsi="宋体"/>
                <w:sz w:val="24"/>
              </w:rPr>
            </w:pPr>
          </w:p>
        </w:tc>
        <w:tc>
          <w:tcPr>
            <w:tcW w:w="1117" w:type="dxa"/>
            <w:vAlign w:val="center"/>
          </w:tcPr>
          <w:p>
            <w:pPr>
              <w:spacing w:line="24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415" w:type="dxa"/>
            <w:vAlign w:val="center"/>
          </w:tcPr>
          <w:p>
            <w:pPr>
              <w:spacing w:line="360" w:lineRule="auto"/>
              <w:jc w:val="center"/>
              <w:rPr>
                <w:rFonts w:ascii="宋体" w:hAnsi="宋体"/>
                <w:sz w:val="24"/>
              </w:rPr>
            </w:pPr>
          </w:p>
        </w:tc>
        <w:tc>
          <w:tcPr>
            <w:tcW w:w="1239" w:type="dxa"/>
            <w:vAlign w:val="center"/>
          </w:tcPr>
          <w:p>
            <w:pPr>
              <w:spacing w:line="240" w:lineRule="atLeast"/>
              <w:jc w:val="center"/>
              <w:rPr>
                <w:rFonts w:ascii="宋体" w:hAnsi="宋体"/>
                <w:sz w:val="24"/>
              </w:rPr>
            </w:pPr>
            <w:r>
              <w:rPr>
                <w:rFonts w:hint="eastAsia" w:ascii="宋体" w:hAnsi="宋体"/>
                <w:sz w:val="24"/>
              </w:rPr>
              <w:t>总计</w:t>
            </w:r>
          </w:p>
        </w:tc>
        <w:tc>
          <w:tcPr>
            <w:tcW w:w="7236" w:type="dxa"/>
            <w:gridSpan w:val="5"/>
            <w:vAlign w:val="center"/>
          </w:tcPr>
          <w:p>
            <w:pPr>
              <w:spacing w:line="240" w:lineRule="atLeast"/>
              <w:jc w:val="center"/>
              <w:rPr>
                <w:rFonts w:ascii="宋体" w:hAnsi="宋体"/>
                <w:sz w:val="24"/>
              </w:rPr>
            </w:pPr>
            <w:r>
              <w:rPr>
                <w:rFonts w:hint="eastAsia" w:ascii="宋体" w:hAnsi="宋体"/>
                <w:sz w:val="24"/>
              </w:rPr>
              <w:t>元</w:t>
            </w:r>
          </w:p>
        </w:tc>
      </w:tr>
    </w:tbl>
    <w:p>
      <w:pPr>
        <w:spacing w:line="360" w:lineRule="auto"/>
        <w:ind w:firstLine="482" w:firstLineChars="200"/>
        <w:rPr>
          <w:rFonts w:ascii="宋体"/>
          <w:b/>
          <w:bCs/>
          <w:sz w:val="24"/>
        </w:rPr>
      </w:pPr>
      <w:r>
        <w:rPr>
          <w:rFonts w:hint="eastAsia" w:ascii="宋体"/>
          <w:b/>
          <w:bCs/>
          <w:sz w:val="24"/>
        </w:rPr>
        <w:t xml:space="preserve">       </w:t>
      </w:r>
    </w:p>
    <w:p>
      <w:pPr>
        <w:spacing w:line="360" w:lineRule="auto"/>
        <w:ind w:left="5639" w:leftChars="228" w:hanging="5160" w:hangingChars="2150"/>
        <w:rPr>
          <w:rFonts w:ascii="宋体"/>
          <w:sz w:val="24"/>
        </w:rPr>
      </w:pPr>
      <w:r>
        <w:rPr>
          <w:rFonts w:hint="eastAsia" w:ascii="宋体"/>
          <w:sz w:val="24"/>
        </w:rPr>
        <w:t xml:space="preserve">                                                                                   供应商（公章）：                                                                                       年     月   日</w:t>
      </w:r>
    </w:p>
    <w:p>
      <w:pPr>
        <w:pStyle w:val="2"/>
      </w:pPr>
    </w:p>
    <w:p>
      <w:pPr>
        <w:pStyle w:val="3"/>
      </w:pPr>
    </w:p>
    <w:p>
      <w:pPr>
        <w:pStyle w:val="3"/>
        <w:ind w:left="0" w:firstLine="0"/>
      </w:pPr>
    </w:p>
    <w:p>
      <w:pPr>
        <w:pStyle w:val="3"/>
        <w:ind w:left="0" w:firstLine="0"/>
      </w:pPr>
    </w:p>
    <w:p>
      <w:pPr>
        <w:adjustRightInd w:val="0"/>
        <w:snapToGrid w:val="0"/>
        <w:spacing w:line="480" w:lineRule="exact"/>
        <w:ind w:firstLine="560" w:firstLineChars="200"/>
        <w:rPr>
          <w:rFonts w:ascii="宋体" w:hAnsi="宋体" w:cs="宋体"/>
          <w:sz w:val="28"/>
          <w:szCs w:val="28"/>
        </w:rPr>
      </w:pPr>
      <w:bookmarkStart w:id="112" w:name="_Toc27183"/>
      <w:r>
        <w:rPr>
          <w:rFonts w:hint="eastAsia" w:ascii="宋体" w:hAnsi="宋体" w:cs="宋体"/>
          <w:sz w:val="28"/>
          <w:szCs w:val="28"/>
        </w:rPr>
        <w:t>3.</w:t>
      </w:r>
      <w:bookmarkEnd w:id="112"/>
      <w:r>
        <w:rPr>
          <w:rFonts w:hint="eastAsia" w:ascii="宋体" w:hAnsi="宋体" w:cs="宋体"/>
          <w:sz w:val="28"/>
          <w:szCs w:val="28"/>
        </w:rPr>
        <w:t>类似活动相关证明及案例图；</w:t>
      </w:r>
    </w:p>
    <w:p>
      <w:pPr>
        <w:adjustRightInd w:val="0"/>
        <w:snapToGrid w:val="0"/>
        <w:spacing w:line="580" w:lineRule="exact"/>
        <w:ind w:firstLine="560" w:firstLineChars="200"/>
        <w:outlineLvl w:val="1"/>
        <w:rPr>
          <w:rFonts w:ascii="宋体" w:hAnsi="宋体" w:cs="宋体"/>
          <w:sz w:val="28"/>
          <w:szCs w:val="28"/>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adjustRightInd w:val="0"/>
        <w:snapToGrid w:val="0"/>
        <w:spacing w:line="480" w:lineRule="exact"/>
        <w:ind w:firstLine="560" w:firstLineChars="200"/>
        <w:rPr>
          <w:rFonts w:ascii="微软雅黑" w:hAnsi="微软雅黑" w:eastAsia="微软雅黑"/>
          <w:szCs w:val="21"/>
        </w:rPr>
      </w:pPr>
      <w:r>
        <w:rPr>
          <w:rFonts w:hint="eastAsia"/>
          <w:sz w:val="28"/>
          <w:szCs w:val="28"/>
        </w:rPr>
        <w:br w:type="page"/>
      </w:r>
      <w:bookmarkStart w:id="113" w:name="_Toc120"/>
      <w:r>
        <w:rPr>
          <w:rFonts w:hint="eastAsia" w:ascii="宋体" w:hAnsi="宋体" w:cs="宋体"/>
          <w:sz w:val="28"/>
          <w:szCs w:val="28"/>
        </w:rPr>
        <w:t>4.网站运营初步服务方案；</w:t>
      </w:r>
    </w:p>
    <w:bookmarkEnd w:id="113"/>
    <w:p>
      <w:pPr>
        <w:adjustRightInd w:val="0"/>
        <w:snapToGrid w:val="0"/>
        <w:spacing w:line="580" w:lineRule="exact"/>
        <w:rPr>
          <w:sz w:val="28"/>
          <w:szCs w:val="28"/>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firstLine="0"/>
      </w:pPr>
    </w:p>
    <w:p>
      <w:pPr>
        <w:numPr>
          <w:ilvl w:val="0"/>
          <w:numId w:val="3"/>
        </w:numPr>
        <w:adjustRightInd w:val="0"/>
        <w:snapToGrid w:val="0"/>
        <w:spacing w:line="580" w:lineRule="exact"/>
        <w:ind w:firstLine="560" w:firstLineChars="200"/>
        <w:outlineLvl w:val="1"/>
        <w:rPr>
          <w:rFonts w:ascii="宋体" w:hAnsi="宋体" w:cs="宋体"/>
          <w:sz w:val="28"/>
          <w:szCs w:val="28"/>
        </w:rPr>
      </w:pPr>
      <w:bookmarkStart w:id="114" w:name="_Toc17390"/>
      <w:r>
        <w:rPr>
          <w:rFonts w:hint="eastAsia" w:ascii="宋体" w:hAnsi="宋体" w:cs="宋体"/>
          <w:sz w:val="28"/>
          <w:szCs w:val="28"/>
        </w:rPr>
        <w:t>书面声明（格式）</w:t>
      </w:r>
      <w:bookmarkEnd w:id="114"/>
    </w:p>
    <w:p>
      <w:pPr>
        <w:pStyle w:val="2"/>
      </w:pPr>
    </w:p>
    <w:p>
      <w:pPr>
        <w:spacing w:line="360" w:lineRule="auto"/>
        <w:jc w:val="left"/>
        <w:rPr>
          <w:sz w:val="24"/>
        </w:rPr>
      </w:pPr>
      <w:r>
        <w:rPr>
          <w:rFonts w:hint="eastAsia"/>
          <w:sz w:val="24"/>
        </w:rPr>
        <w:t xml:space="preserve">项目名称： </w:t>
      </w:r>
      <w:r>
        <w:rPr>
          <w:rFonts w:hint="eastAsia"/>
          <w:color w:val="000000"/>
          <w:sz w:val="24"/>
        </w:rPr>
        <w:t xml:space="preserve"> </w:t>
      </w:r>
      <w:r>
        <w:rPr>
          <w:rFonts w:hint="eastAsia" w:ascii="宋体" w:cs="宋体"/>
          <w:color w:val="000000"/>
          <w:sz w:val="24"/>
          <w:u w:val="single"/>
        </w:rPr>
        <w:t xml:space="preserve">      </w:t>
      </w:r>
      <w:r>
        <w:rPr>
          <w:rFonts w:hint="eastAsia"/>
          <w:color w:val="000000"/>
          <w:sz w:val="24"/>
        </w:rPr>
        <w:t xml:space="preserve"> 项目 </w:t>
      </w:r>
      <w:r>
        <w:rPr>
          <w:rFonts w:hint="eastAsia"/>
          <w:sz w:val="24"/>
        </w:rPr>
        <w:t xml:space="preserve">                                          </w:t>
      </w:r>
    </w:p>
    <w:p>
      <w:pPr>
        <w:spacing w:line="360" w:lineRule="auto"/>
        <w:jc w:val="left"/>
        <w:rPr>
          <w:sz w:val="24"/>
        </w:rPr>
      </w:pPr>
    </w:p>
    <w:p>
      <w:pPr>
        <w:spacing w:line="360" w:lineRule="auto"/>
        <w:jc w:val="left"/>
        <w:rPr>
          <w:sz w:val="24"/>
        </w:rPr>
      </w:pPr>
      <w:r>
        <w:rPr>
          <w:rFonts w:hint="eastAsia"/>
          <w:sz w:val="24"/>
        </w:rPr>
        <w:t>致：</w:t>
      </w:r>
      <w:r>
        <w:rPr>
          <w:rFonts w:hint="eastAsia"/>
          <w:sz w:val="24"/>
          <w:u w:val="single"/>
        </w:rPr>
        <w:t xml:space="preserve"> </w:t>
      </w:r>
      <w:r>
        <w:rPr>
          <w:sz w:val="24"/>
          <w:u w:val="single"/>
        </w:rPr>
        <w:t xml:space="preserve"> </w:t>
      </w:r>
      <w:r>
        <w:rPr>
          <w:rFonts w:hint="eastAsia" w:ascii="宋体"/>
          <w:sz w:val="24"/>
          <w:u w:val="single"/>
        </w:rPr>
        <w:t xml:space="preserve"> </w:t>
      </w:r>
      <w:r>
        <w:rPr>
          <w:rFonts w:hint="eastAsia" w:ascii="宋体" w:cs="宋体"/>
          <w:sz w:val="24"/>
          <w:u w:val="single"/>
        </w:rPr>
        <w:t xml:space="preserve"> （采购人名称）</w:t>
      </w:r>
      <w:r>
        <w:rPr>
          <w:rFonts w:hint="eastAsia" w:ascii="宋体"/>
          <w:sz w:val="24"/>
          <w:u w:val="single"/>
        </w:rPr>
        <w:t xml:space="preserve">     </w:t>
      </w:r>
      <w:r>
        <w:rPr>
          <w:rFonts w:hint="eastAsia"/>
          <w:sz w:val="24"/>
        </w:rPr>
        <w:t xml:space="preserve"> ：</w:t>
      </w:r>
    </w:p>
    <w:p>
      <w:pPr>
        <w:spacing w:line="360" w:lineRule="auto"/>
        <w:jc w:val="left"/>
        <w:rPr>
          <w:sz w:val="24"/>
        </w:rPr>
      </w:pPr>
      <w:r>
        <w:rPr>
          <w:rFonts w:hint="eastAsia"/>
          <w:sz w:val="24"/>
        </w:rPr>
        <w:t xml:space="preserve">     </w:t>
      </w:r>
      <w:r>
        <w:rPr>
          <w:sz w:val="24"/>
        </w:rPr>
        <w:t xml:space="preserve"> </w:t>
      </w:r>
      <w:r>
        <w:rPr>
          <w:sz w:val="24"/>
          <w:u w:val="single"/>
        </w:rPr>
        <w:t xml:space="preserve"> </w:t>
      </w:r>
      <w:r>
        <w:rPr>
          <w:rFonts w:hint="eastAsia"/>
          <w:sz w:val="24"/>
          <w:u w:val="single"/>
        </w:rPr>
        <w:t>（供应商名称）</w:t>
      </w:r>
      <w:r>
        <w:rPr>
          <w:sz w:val="24"/>
          <w:u w:val="single"/>
        </w:rPr>
        <w:t xml:space="preserve">  </w:t>
      </w:r>
      <w:r>
        <w:rPr>
          <w:rFonts w:hint="eastAsia"/>
          <w:sz w:val="24"/>
        </w:rPr>
        <w:t xml:space="preserve"> 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spacing w:line="360" w:lineRule="auto"/>
        <w:jc w:val="left"/>
        <w:rPr>
          <w:sz w:val="24"/>
        </w:rPr>
      </w:pPr>
    </w:p>
    <w:p>
      <w:pPr>
        <w:spacing w:line="360" w:lineRule="auto"/>
        <w:jc w:val="left"/>
        <w:rPr>
          <w:sz w:val="24"/>
        </w:rPr>
      </w:pPr>
      <w:r>
        <w:rPr>
          <w:rFonts w:hint="eastAsia"/>
          <w:sz w:val="24"/>
        </w:rPr>
        <w:t>特此声明。</w:t>
      </w: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tabs>
          <w:tab w:val="left" w:pos="6300"/>
        </w:tabs>
        <w:snapToGrid w:val="0"/>
        <w:spacing w:line="500" w:lineRule="exact"/>
        <w:ind w:right="424" w:firstLine="570"/>
        <w:jc w:val="right"/>
        <w:rPr>
          <w:rFonts w:eastAsia="微软雅黑"/>
          <w:sz w:val="24"/>
          <w:lang w:val="zh-CN"/>
        </w:rPr>
      </w:pPr>
      <w:r>
        <w:rPr>
          <w:rFonts w:eastAsia="微软雅黑"/>
          <w:sz w:val="24"/>
          <w:lang w:val="zh-CN"/>
        </w:rPr>
        <w:t>（投标人公章）</w:t>
      </w:r>
    </w:p>
    <w:p>
      <w:pPr>
        <w:tabs>
          <w:tab w:val="left" w:pos="6300"/>
        </w:tabs>
        <w:snapToGrid w:val="0"/>
        <w:spacing w:line="500" w:lineRule="exact"/>
        <w:ind w:right="480" w:firstLine="570"/>
        <w:jc w:val="right"/>
        <w:rPr>
          <w:rFonts w:eastAsia="微软雅黑"/>
          <w:sz w:val="24"/>
          <w:lang w:val="zh-CN"/>
        </w:rPr>
      </w:pPr>
      <w:r>
        <w:rPr>
          <w:rFonts w:eastAsia="微软雅黑"/>
          <w:sz w:val="24"/>
          <w:lang w:val="zh-CN"/>
        </w:rPr>
        <w:t>年   月   日</w:t>
      </w:r>
    </w:p>
    <w:p/>
    <w:p>
      <w:pPr>
        <w:pStyle w:val="2"/>
      </w:pPr>
    </w:p>
    <w:p>
      <w:pPr>
        <w:pStyle w:val="3"/>
      </w:pPr>
    </w:p>
    <w:p>
      <w:pPr>
        <w:pStyle w:val="3"/>
      </w:pPr>
    </w:p>
    <w:p>
      <w:pPr>
        <w:pStyle w:val="3"/>
      </w:pPr>
    </w:p>
    <w:p>
      <w:pPr>
        <w:pStyle w:val="3"/>
      </w:pPr>
    </w:p>
    <w:p>
      <w:pPr>
        <w:pStyle w:val="3"/>
      </w:pPr>
    </w:p>
    <w:p>
      <w:pPr>
        <w:pStyle w:val="3"/>
      </w:pPr>
    </w:p>
    <w:p>
      <w:pPr>
        <w:pStyle w:val="2"/>
      </w:pPr>
    </w:p>
    <w:p>
      <w:pPr>
        <w:numPr>
          <w:ilvl w:val="0"/>
          <w:numId w:val="3"/>
        </w:numPr>
        <w:adjustRightInd w:val="0"/>
        <w:snapToGrid w:val="0"/>
        <w:spacing w:line="580" w:lineRule="exact"/>
        <w:ind w:firstLine="560" w:firstLineChars="200"/>
        <w:outlineLvl w:val="1"/>
        <w:rPr>
          <w:sz w:val="28"/>
          <w:szCs w:val="28"/>
        </w:rPr>
      </w:pPr>
      <w:bookmarkStart w:id="115" w:name="_Toc17230"/>
      <w:r>
        <w:rPr>
          <w:rFonts w:hint="eastAsia"/>
          <w:sz w:val="28"/>
          <w:szCs w:val="28"/>
        </w:rPr>
        <w:t>依法缴纳税收和社会保障金的证明材料复印件；依法免税或不需要缴纳社会保障资金的供应商，应提供相应文件证明其依法免税或不需要缴纳社会保障资金；</w:t>
      </w:r>
      <w:bookmarkEnd w:id="115"/>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numPr>
          <w:ilvl w:val="0"/>
          <w:numId w:val="3"/>
        </w:numPr>
        <w:adjustRightInd w:val="0"/>
        <w:snapToGrid w:val="0"/>
        <w:spacing w:line="580" w:lineRule="exact"/>
        <w:ind w:firstLine="560" w:firstLineChars="200"/>
        <w:outlineLvl w:val="1"/>
        <w:rPr>
          <w:sz w:val="28"/>
          <w:szCs w:val="28"/>
        </w:rPr>
      </w:pPr>
      <w:bookmarkStart w:id="116" w:name="_Toc4567"/>
      <w:bookmarkStart w:id="117" w:name="_Toc22924"/>
      <w:r>
        <w:rPr>
          <w:rFonts w:hint="eastAsia"/>
          <w:sz w:val="28"/>
          <w:szCs w:val="28"/>
        </w:rPr>
        <w:t>投标人法定代表人证明书或授权委托函原件材料</w:t>
      </w:r>
      <w:bookmarkEnd w:id="116"/>
      <w:bookmarkEnd w:id="117"/>
    </w:p>
    <w:p>
      <w:pPr>
        <w:adjustRightInd w:val="0"/>
        <w:snapToGrid w:val="0"/>
        <w:ind w:firstLine="480" w:firstLineChars="200"/>
        <w:rPr>
          <w:rFonts w:eastAsia="微软雅黑"/>
          <w:sz w:val="24"/>
        </w:rPr>
      </w:pPr>
      <w:r>
        <w:rPr>
          <w:rFonts w:hint="eastAsia" w:eastAsia="微软雅黑"/>
          <w:sz w:val="24"/>
        </w:rPr>
        <w:t>7.1法</w:t>
      </w:r>
      <w:r>
        <w:rPr>
          <w:rFonts w:eastAsia="微软雅黑"/>
          <w:sz w:val="24"/>
        </w:rPr>
        <w:t>定代表人身份证明书</w:t>
      </w: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widowControl/>
        <w:ind w:firstLine="480" w:firstLineChars="200"/>
        <w:jc w:val="center"/>
        <w:rPr>
          <w:rFonts w:eastAsia="微软雅黑"/>
          <w:sz w:val="24"/>
        </w:rPr>
      </w:pPr>
      <w:r>
        <w:rPr>
          <w:rFonts w:eastAsia="微软雅黑"/>
          <w:sz w:val="24"/>
        </w:rPr>
        <w:t>法定代表人身份证明书（格式）</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项目名称：</w:t>
      </w:r>
      <w:r>
        <w:rPr>
          <w:rFonts w:eastAsia="微软雅黑"/>
          <w:sz w:val="24"/>
          <w:u w:val="single"/>
        </w:rPr>
        <w:t xml:space="preserve">                                                </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致：</w:t>
      </w:r>
      <w:r>
        <w:rPr>
          <w:rFonts w:eastAsia="微软雅黑"/>
          <w:sz w:val="24"/>
          <w:u w:val="single"/>
        </w:rPr>
        <w:t xml:space="preserve">                     </w:t>
      </w:r>
      <w:r>
        <w:rPr>
          <w:rFonts w:eastAsia="微软雅黑"/>
          <w:sz w:val="24"/>
        </w:rPr>
        <w:t>（采购人）：</w:t>
      </w:r>
    </w:p>
    <w:p>
      <w:pPr>
        <w:tabs>
          <w:tab w:val="left" w:pos="6300"/>
        </w:tabs>
        <w:snapToGrid w:val="0"/>
        <w:spacing w:line="500" w:lineRule="exact"/>
        <w:ind w:firstLine="570"/>
        <w:rPr>
          <w:rFonts w:eastAsia="微软雅黑"/>
          <w:sz w:val="24"/>
        </w:rPr>
      </w:pPr>
      <w:r>
        <w:rPr>
          <w:rFonts w:eastAsia="微软雅黑"/>
          <w:sz w:val="24"/>
          <w:u w:val="single"/>
        </w:rPr>
        <w:t xml:space="preserve">        </w:t>
      </w:r>
      <w:r>
        <w:rPr>
          <w:rFonts w:eastAsia="微软雅黑"/>
          <w:sz w:val="24"/>
        </w:rPr>
        <w:t>（法定代表人姓名）在</w:t>
      </w:r>
      <w:r>
        <w:rPr>
          <w:rFonts w:eastAsia="微软雅黑"/>
          <w:sz w:val="24"/>
          <w:u w:val="single"/>
        </w:rPr>
        <w:t xml:space="preserve">                       </w:t>
      </w:r>
      <w:r>
        <w:rPr>
          <w:rFonts w:eastAsia="微软雅黑"/>
          <w:sz w:val="24"/>
        </w:rPr>
        <w:t>（供应商名称）任</w:t>
      </w:r>
      <w:r>
        <w:rPr>
          <w:rFonts w:eastAsia="微软雅黑"/>
          <w:sz w:val="24"/>
          <w:u w:val="single"/>
        </w:rPr>
        <w:t xml:space="preserve">    </w:t>
      </w:r>
      <w:r>
        <w:rPr>
          <w:rFonts w:eastAsia="微软雅黑"/>
          <w:sz w:val="24"/>
        </w:rPr>
        <w:t>（职务名称）职务，是（供应商名称）</w:t>
      </w:r>
      <w:r>
        <w:rPr>
          <w:rFonts w:eastAsia="微软雅黑"/>
          <w:sz w:val="24"/>
          <w:u w:val="single"/>
        </w:rPr>
        <w:t xml:space="preserve">              </w:t>
      </w:r>
      <w:r>
        <w:rPr>
          <w:rFonts w:eastAsia="微软雅黑"/>
          <w:sz w:val="24"/>
        </w:rPr>
        <w:t>的法定代表人。</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特此证明。</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 xml:space="preserve">                                             （投标人公章）</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 xml:space="preserve">                                             年   月   日</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（附：法定代表人身份证正反面复印件）</w:t>
      </w: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adjustRightInd w:val="0"/>
        <w:snapToGrid w:val="0"/>
        <w:ind w:firstLine="480" w:firstLineChars="200"/>
        <w:rPr>
          <w:rFonts w:eastAsia="微软雅黑"/>
          <w:sz w:val="24"/>
        </w:rPr>
      </w:pPr>
    </w:p>
    <w:p>
      <w:pPr>
        <w:pStyle w:val="6"/>
        <w:rPr>
          <w:rFonts w:ascii="Times New Roman" w:hAnsi="Times New Roman" w:eastAsia="微软雅黑"/>
        </w:rPr>
      </w:pPr>
    </w:p>
    <w:p>
      <w:pPr>
        <w:rPr>
          <w:rFonts w:eastAsia="微软雅黑"/>
          <w:sz w:val="24"/>
        </w:rPr>
      </w:pPr>
    </w:p>
    <w:p>
      <w:pPr>
        <w:pStyle w:val="6"/>
        <w:rPr>
          <w:rFonts w:ascii="Times New Roman" w:hAnsi="Times New Roman" w:eastAsia="微软雅黑"/>
        </w:rPr>
      </w:pPr>
    </w:p>
    <w:p>
      <w:pPr>
        <w:adjustRightInd w:val="0"/>
        <w:snapToGrid w:val="0"/>
        <w:ind w:firstLine="480" w:firstLineChars="200"/>
        <w:rPr>
          <w:rFonts w:eastAsia="微软雅黑"/>
          <w:sz w:val="24"/>
        </w:rPr>
      </w:pPr>
      <w:r>
        <w:rPr>
          <w:rFonts w:hint="eastAsia" w:eastAsia="微软雅黑"/>
          <w:sz w:val="24"/>
        </w:rPr>
        <w:t>7.2</w:t>
      </w:r>
      <w:r>
        <w:rPr>
          <w:rFonts w:eastAsia="微软雅黑"/>
          <w:sz w:val="24"/>
        </w:rPr>
        <w:t>法定代表人授权委托书</w:t>
      </w:r>
    </w:p>
    <w:p>
      <w:pPr>
        <w:tabs>
          <w:tab w:val="left" w:pos="6300"/>
        </w:tabs>
        <w:snapToGrid w:val="0"/>
        <w:spacing w:line="500" w:lineRule="exact"/>
        <w:ind w:firstLine="570"/>
        <w:jc w:val="center"/>
        <w:rPr>
          <w:rFonts w:eastAsia="微软雅黑"/>
          <w:sz w:val="24"/>
        </w:rPr>
      </w:pPr>
      <w:r>
        <w:rPr>
          <w:rFonts w:eastAsia="微软雅黑"/>
          <w:sz w:val="24"/>
        </w:rPr>
        <w:t>法定代表人授权委托书（格式）</w:t>
      </w:r>
    </w:p>
    <w:p>
      <w:pPr>
        <w:tabs>
          <w:tab w:val="left" w:pos="6300"/>
        </w:tabs>
        <w:snapToGrid w:val="0"/>
        <w:spacing w:line="500" w:lineRule="exact"/>
        <w:ind w:firstLine="570"/>
        <w:rPr>
          <w:rFonts w:eastAsia="微软雅黑"/>
          <w:sz w:val="24"/>
        </w:rPr>
      </w:pPr>
      <w:r>
        <w:rPr>
          <w:rFonts w:eastAsia="微软雅黑"/>
          <w:sz w:val="24"/>
        </w:rPr>
        <w:t xml:space="preserve">    </w:t>
      </w:r>
    </w:p>
    <w:p>
      <w:pPr>
        <w:tabs>
          <w:tab w:val="left" w:pos="6300"/>
        </w:tabs>
        <w:snapToGrid w:val="0"/>
        <w:spacing w:line="500" w:lineRule="exact"/>
        <w:ind w:firstLine="480" w:firstLineChars="200"/>
        <w:rPr>
          <w:rFonts w:eastAsia="微软雅黑"/>
          <w:sz w:val="24"/>
        </w:rPr>
      </w:pPr>
      <w:r>
        <w:rPr>
          <w:rFonts w:eastAsia="微软雅黑"/>
          <w:sz w:val="24"/>
        </w:rPr>
        <w:t>项目名称：</w:t>
      </w:r>
      <w:r>
        <w:rPr>
          <w:rFonts w:eastAsia="微软雅黑"/>
          <w:sz w:val="24"/>
          <w:u w:val="single"/>
        </w:rPr>
        <w:t xml:space="preserve">                                                </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480" w:firstLineChars="200"/>
        <w:rPr>
          <w:rFonts w:eastAsia="微软雅黑"/>
          <w:sz w:val="24"/>
        </w:rPr>
      </w:pPr>
      <w:r>
        <w:rPr>
          <w:rFonts w:eastAsia="微软雅黑"/>
          <w:sz w:val="24"/>
        </w:rPr>
        <w:t>致：</w:t>
      </w:r>
      <w:r>
        <w:rPr>
          <w:rFonts w:eastAsia="微软雅黑"/>
          <w:sz w:val="24"/>
          <w:u w:val="single"/>
        </w:rPr>
        <w:t xml:space="preserve">                     </w:t>
      </w:r>
      <w:r>
        <w:rPr>
          <w:rFonts w:eastAsia="微软雅黑"/>
          <w:sz w:val="24"/>
        </w:rPr>
        <w:t>（采购人）：</w:t>
      </w:r>
    </w:p>
    <w:p>
      <w:pPr>
        <w:tabs>
          <w:tab w:val="left" w:pos="6300"/>
        </w:tabs>
        <w:snapToGrid w:val="0"/>
        <w:spacing w:line="500" w:lineRule="exact"/>
        <w:ind w:firstLine="480" w:firstLineChars="200"/>
        <w:rPr>
          <w:rFonts w:eastAsia="微软雅黑"/>
          <w:sz w:val="24"/>
        </w:rPr>
      </w:pPr>
      <w:r>
        <w:rPr>
          <w:rFonts w:eastAsia="微软雅黑"/>
          <w:sz w:val="24"/>
          <w:u w:val="single"/>
        </w:rPr>
        <w:t xml:space="preserve">            </w:t>
      </w:r>
      <w:r>
        <w:rPr>
          <w:rFonts w:eastAsia="微软雅黑"/>
          <w:sz w:val="24"/>
        </w:rPr>
        <w:t>（供应商法定代表人名称）是</w:t>
      </w:r>
      <w:r>
        <w:rPr>
          <w:rFonts w:eastAsia="微软雅黑"/>
          <w:sz w:val="24"/>
          <w:u w:val="single"/>
        </w:rPr>
        <w:t xml:space="preserve">                    </w:t>
      </w:r>
      <w:r>
        <w:rPr>
          <w:rFonts w:eastAsia="微软雅黑"/>
          <w:sz w:val="24"/>
        </w:rPr>
        <w:t>（供应商名称）的法定代表人，特授权</w:t>
      </w:r>
      <w:r>
        <w:rPr>
          <w:rFonts w:eastAsia="微软雅黑"/>
          <w:sz w:val="24"/>
          <w:u w:val="single"/>
        </w:rPr>
        <w:t xml:space="preserve">          </w:t>
      </w:r>
      <w:r>
        <w:rPr>
          <w:rFonts w:eastAsia="微软雅黑"/>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eastAsia="微软雅黑"/>
          <w:sz w:val="24"/>
        </w:rPr>
      </w:pPr>
      <w:r>
        <w:rPr>
          <w:rFonts w:eastAsia="微软雅黑"/>
          <w:sz w:val="24"/>
        </w:rPr>
        <w:t>我单位对被授权人的签字负全部责任。</w:t>
      </w:r>
    </w:p>
    <w:p>
      <w:pPr>
        <w:tabs>
          <w:tab w:val="left" w:pos="6300"/>
        </w:tabs>
        <w:snapToGrid w:val="0"/>
        <w:spacing w:line="500" w:lineRule="exact"/>
        <w:ind w:firstLine="480" w:firstLineChars="200"/>
        <w:rPr>
          <w:rFonts w:eastAsia="微软雅黑"/>
          <w:sz w:val="24"/>
        </w:rPr>
      </w:pPr>
      <w:r>
        <w:rPr>
          <w:rFonts w:eastAsia="微软雅黑"/>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r>
        <w:rPr>
          <w:rFonts w:eastAsia="微软雅黑"/>
          <w:sz w:val="24"/>
        </w:rPr>
        <w:t>被授权人：                                 投标人法定代表人：</w:t>
      </w:r>
    </w:p>
    <w:p>
      <w:pPr>
        <w:tabs>
          <w:tab w:val="left" w:pos="6300"/>
        </w:tabs>
        <w:snapToGrid w:val="0"/>
        <w:spacing w:line="500" w:lineRule="exact"/>
        <w:ind w:firstLine="570"/>
        <w:rPr>
          <w:rFonts w:eastAsia="微软雅黑"/>
          <w:sz w:val="24"/>
        </w:rPr>
      </w:pPr>
      <w:r>
        <w:rPr>
          <w:rFonts w:eastAsia="微软雅黑"/>
          <w:sz w:val="24"/>
        </w:rPr>
        <w:t>（签字或盖章）                                （签字或盖章）</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rPr>
          <w:rFonts w:eastAsia="微软雅黑"/>
          <w:sz w:val="24"/>
        </w:rPr>
      </w:pPr>
    </w:p>
    <w:p>
      <w:pPr>
        <w:tabs>
          <w:tab w:val="left" w:pos="6300"/>
        </w:tabs>
        <w:snapToGrid w:val="0"/>
        <w:spacing w:line="500" w:lineRule="exact"/>
        <w:ind w:firstLine="570"/>
        <w:outlineLvl w:val="1"/>
        <w:rPr>
          <w:rFonts w:eastAsia="微软雅黑"/>
          <w:sz w:val="24"/>
        </w:rPr>
      </w:pPr>
      <w:bookmarkStart w:id="118" w:name="_Toc621"/>
      <w:bookmarkStart w:id="119" w:name="_Toc27976"/>
      <w:r>
        <w:rPr>
          <w:rFonts w:eastAsia="微软雅黑"/>
          <w:sz w:val="24"/>
        </w:rPr>
        <w:t>（附：被授权人身份证正反面复印件）</w:t>
      </w:r>
      <w:bookmarkEnd w:id="118"/>
      <w:bookmarkEnd w:id="119"/>
    </w:p>
    <w:p>
      <w:pPr>
        <w:tabs>
          <w:tab w:val="left" w:pos="6300"/>
        </w:tabs>
        <w:snapToGrid w:val="0"/>
        <w:spacing w:line="500" w:lineRule="exact"/>
        <w:ind w:firstLine="570"/>
        <w:rPr>
          <w:rFonts w:eastAsia="微软雅黑"/>
          <w:sz w:val="24"/>
        </w:rPr>
      </w:pPr>
      <w:r>
        <w:rPr>
          <w:rFonts w:eastAsia="微软雅黑"/>
          <w:sz w:val="24"/>
        </w:rPr>
        <w:t xml:space="preserve">                                         </w:t>
      </w:r>
    </w:p>
    <w:p>
      <w:pPr>
        <w:tabs>
          <w:tab w:val="left" w:pos="6300"/>
        </w:tabs>
        <w:snapToGrid w:val="0"/>
        <w:spacing w:line="500" w:lineRule="exact"/>
        <w:ind w:firstLine="570"/>
        <w:rPr>
          <w:rFonts w:eastAsia="微软雅黑"/>
          <w:sz w:val="24"/>
        </w:rPr>
      </w:pPr>
    </w:p>
    <w:p>
      <w:pPr>
        <w:tabs>
          <w:tab w:val="left" w:pos="6300"/>
        </w:tabs>
        <w:snapToGrid w:val="0"/>
        <w:spacing w:line="500" w:lineRule="exact"/>
        <w:ind w:right="480" w:firstLine="570"/>
        <w:jc w:val="right"/>
        <w:rPr>
          <w:rFonts w:eastAsia="微软雅黑"/>
          <w:sz w:val="24"/>
        </w:rPr>
      </w:pPr>
      <w:r>
        <w:rPr>
          <w:rFonts w:eastAsia="微软雅黑"/>
          <w:sz w:val="24"/>
        </w:rPr>
        <w:t>（投标人公章）</w:t>
      </w:r>
    </w:p>
    <w:p>
      <w:pPr>
        <w:tabs>
          <w:tab w:val="left" w:pos="6300"/>
        </w:tabs>
        <w:snapToGrid w:val="0"/>
        <w:spacing w:line="500" w:lineRule="exact"/>
        <w:ind w:right="480" w:firstLine="570"/>
        <w:jc w:val="right"/>
        <w:rPr>
          <w:rFonts w:eastAsia="微软雅黑"/>
          <w:sz w:val="24"/>
        </w:rPr>
      </w:pPr>
      <w:r>
        <w:rPr>
          <w:rFonts w:eastAsia="微软雅黑"/>
          <w:sz w:val="24"/>
        </w:rPr>
        <w:t>年   月   日</w:t>
      </w:r>
    </w:p>
    <w:p>
      <w:pPr>
        <w:pStyle w:val="2"/>
      </w:pPr>
    </w:p>
    <w:p>
      <w:pPr>
        <w:pStyle w:val="3"/>
      </w:pPr>
    </w:p>
    <w:p>
      <w:pPr>
        <w:adjustRightInd w:val="0"/>
        <w:snapToGrid w:val="0"/>
        <w:spacing w:line="580" w:lineRule="exact"/>
        <w:ind w:firstLine="560" w:firstLineChars="200"/>
        <w:outlineLvl w:val="1"/>
        <w:rPr>
          <w:rFonts w:ascii="宋体" w:hAnsi="宋体" w:cs="宋体"/>
          <w:sz w:val="28"/>
          <w:szCs w:val="28"/>
        </w:rPr>
        <w:sectPr>
          <w:footerReference r:id="rId11" w:type="default"/>
          <w:pgSz w:w="11906" w:h="16838"/>
          <w:pgMar w:top="2098" w:right="1474" w:bottom="1985" w:left="1588" w:header="851" w:footer="851" w:gutter="0"/>
          <w:cols w:space="720" w:num="1"/>
          <w:docGrid w:linePitch="388" w:charSpace="-1260"/>
        </w:sectPr>
      </w:pPr>
      <w:bookmarkStart w:id="120" w:name="_Toc4397"/>
      <w:bookmarkStart w:id="121" w:name="_Toc5517"/>
      <w:r>
        <w:rPr>
          <w:rFonts w:hint="eastAsia" w:ascii="宋体" w:hAnsi="宋体" w:cs="宋体"/>
          <w:sz w:val="28"/>
          <w:szCs w:val="28"/>
        </w:rPr>
        <w:t>8.采购人要求提供的其他证明材</w:t>
      </w:r>
      <w:bookmarkEnd w:id="120"/>
      <w:r>
        <w:rPr>
          <w:rFonts w:hint="eastAsia" w:ascii="宋体" w:hAnsi="宋体" w:cs="宋体"/>
          <w:sz w:val="28"/>
          <w:szCs w:val="28"/>
        </w:rPr>
        <w:t>料</w:t>
      </w:r>
      <w:bookmarkEnd w:id="121"/>
    </w:p>
    <w:bookmarkEnd w:id="52"/>
    <w:bookmarkEnd w:id="53"/>
    <w:bookmarkEnd w:id="54"/>
    <w:bookmarkEnd w:id="55"/>
    <w:bookmarkEnd w:id="65"/>
    <w:p/>
    <w:p/>
    <w:sectPr>
      <w:footerReference r:id="rId12" w:type="default"/>
      <w:footerReference r:id="rId13" w:type="even"/>
      <w:pgSz w:w="11906" w:h="16838"/>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sz w:val="21"/>
                              <w:szCs w:val="21"/>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rPr>
                        <w:rStyle w:val="14"/>
                        <w:sz w:val="21"/>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3A7D3"/>
    <w:multiLevelType w:val="singleLevel"/>
    <w:tmpl w:val="EE33A7D3"/>
    <w:lvl w:ilvl="0" w:tentative="0">
      <w:start w:val="2"/>
      <w:numFmt w:val="decimal"/>
      <w:lvlText w:val="%1."/>
      <w:lvlJc w:val="left"/>
      <w:pPr>
        <w:tabs>
          <w:tab w:val="left" w:pos="312"/>
        </w:tabs>
      </w:pPr>
    </w:lvl>
  </w:abstractNum>
  <w:abstractNum w:abstractNumId="1">
    <w:nsid w:val="5DBBD4AC"/>
    <w:multiLevelType w:val="singleLevel"/>
    <w:tmpl w:val="5DBBD4AC"/>
    <w:lvl w:ilvl="0" w:tentative="0">
      <w:start w:val="2"/>
      <w:numFmt w:val="decimal"/>
      <w:suff w:val="nothing"/>
      <w:lvlText w:val="%1."/>
      <w:lvlJc w:val="left"/>
    </w:lvl>
  </w:abstractNum>
  <w:abstractNum w:abstractNumId="2">
    <w:nsid w:val="7171112C"/>
    <w:multiLevelType w:val="singleLevel"/>
    <w:tmpl w:val="7171112C"/>
    <w:lvl w:ilvl="0" w:tentative="0">
      <w:start w:val="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2ZDM0MjVlOWI0OTFiNzUyOGVkZmY1MjIyYjk0MDkifQ=="/>
  </w:docVars>
  <w:rsids>
    <w:rsidRoot w:val="5FDE4143"/>
    <w:rsid w:val="00014AB2"/>
    <w:rsid w:val="00186CCF"/>
    <w:rsid w:val="001A413C"/>
    <w:rsid w:val="0033742F"/>
    <w:rsid w:val="004B2578"/>
    <w:rsid w:val="00700BE5"/>
    <w:rsid w:val="008E246B"/>
    <w:rsid w:val="00B20386"/>
    <w:rsid w:val="00C103D7"/>
    <w:rsid w:val="00FC0E16"/>
    <w:rsid w:val="00FE55A7"/>
    <w:rsid w:val="199064B5"/>
    <w:rsid w:val="1EED4C48"/>
    <w:rsid w:val="26A70A8E"/>
    <w:rsid w:val="27082A3F"/>
    <w:rsid w:val="324D1440"/>
    <w:rsid w:val="36E6490D"/>
    <w:rsid w:val="38C25EA0"/>
    <w:rsid w:val="3E925C5A"/>
    <w:rsid w:val="42AB2199"/>
    <w:rsid w:val="51F8604A"/>
    <w:rsid w:val="5FDE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adjustRightInd w:val="0"/>
      <w:snapToGrid w:val="0"/>
      <w:spacing w:line="360" w:lineRule="auto"/>
      <w:outlineLvl w:val="1"/>
    </w:pPr>
    <w:rPr>
      <w:rFonts w:ascii="宋体" w:hAnsi="宋体" w:eastAsia="Calibri"/>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ind w:left="1" w:hanging="1"/>
    </w:pPr>
    <w:rPr>
      <w:rFonts w:ascii="仿宋_GB2312" w:eastAsia="仿宋_GB2312"/>
      <w:sz w:val="32"/>
    </w:rPr>
  </w:style>
  <w:style w:type="paragraph" w:styleId="6">
    <w:name w:val="Normal Indent"/>
    <w:basedOn w:val="1"/>
    <w:next w:val="1"/>
    <w:qFormat/>
    <w:uiPriority w:val="0"/>
    <w:pPr>
      <w:adjustRightInd w:val="0"/>
      <w:snapToGrid w:val="0"/>
      <w:spacing w:line="360" w:lineRule="auto"/>
      <w:ind w:firstLine="420"/>
    </w:pPr>
    <w:rPr>
      <w:rFonts w:ascii="Calibri" w:hAnsi="Calibri" w:eastAsia="Calibri"/>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First Indent"/>
    <w:basedOn w:val="2"/>
    <w:qFormat/>
    <w:uiPriority w:val="0"/>
    <w:pPr>
      <w:ind w:firstLine="420" w:firstLineChars="100"/>
    </w:pPr>
  </w:style>
  <w:style w:type="character" w:styleId="14">
    <w:name w:val="page number"/>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6400</Words>
  <Characters>6680</Characters>
  <Lines>71</Lines>
  <Paragraphs>20</Paragraphs>
  <TotalTime>4</TotalTime>
  <ScaleCrop>false</ScaleCrop>
  <LinksUpToDate>false</LinksUpToDate>
  <CharactersWithSpaces>7647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2022-08-15T06:18:00Z</dcterms:created>
  <dc:creator>太阳花</dc:creator>
  <cp:lastModifiedBy>太阳花</cp:lastModifiedBy>
  <cp:lastPrinted>2022-08-15T06:24:53Z</cp:lastPrinted>
  <dcterms:modified xsi:type="dcterms:W3CDTF">2022-08-15T06:25:34Z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4106F88179B34EC7B2B3222A9581AA92</vt:lpwstr>
  </property>
</Properties>
</file>